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2018年度策勒县部门决算公开说明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第一部分 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七、国有资产占用情况说明</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sz w:val="32"/>
          <w:szCs w:val="32"/>
        </w:rPr>
      </w:pPr>
    </w:p>
    <w:p>
      <w:pPr>
        <w:spacing w:line="54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第一部分 部门单位概况</w:t>
      </w:r>
    </w:p>
    <w:p>
      <w:pPr>
        <w:numPr>
          <w:ilvl w:val="0"/>
          <w:numId w:val="0"/>
        </w:numPr>
        <w:autoSpaceDE/>
        <w:autoSpaceDN/>
        <w:snapToGrid w:val="0"/>
        <w:spacing w:before="0" w:after="160" w:line="500" w:lineRule="exact"/>
        <w:ind w:left="0" w:right="0" w:firstLine="640"/>
        <w:jc w:val="both"/>
        <w:rPr>
          <w:rFonts w:hint="default" w:ascii="仿宋_GB2312" w:hAnsi="仿宋_GB2312" w:eastAsia="仿宋_GB2312"/>
          <w:color w:val="auto"/>
          <w:position w:val="0"/>
          <w:sz w:val="32"/>
          <w:szCs w:val="32"/>
          <w:highlight w:val="none"/>
        </w:rPr>
      </w:pPr>
      <w:r>
        <w:rPr>
          <w:rFonts w:hint="eastAsia" w:ascii="新宋体" w:hAnsi="新宋体" w:eastAsia="新宋体"/>
          <w:color w:val="auto"/>
          <w:position w:val="0"/>
          <w:sz w:val="32"/>
          <w:szCs w:val="32"/>
          <w:highlight w:val="none"/>
          <w:lang w:eastAsia="zh-CN"/>
        </w:rPr>
        <w:t>一、</w:t>
      </w:r>
      <w:r>
        <w:rPr>
          <w:rFonts w:hint="default" w:ascii="新宋体" w:hAnsi="新宋体" w:eastAsia="新宋体"/>
          <w:color w:val="auto"/>
          <w:position w:val="0"/>
          <w:sz w:val="32"/>
          <w:szCs w:val="32"/>
          <w:highlight w:val="none"/>
          <w:lang w:eastAsia="zh-CN"/>
        </w:rPr>
        <w:t>机构情况</w:t>
      </w:r>
    </w:p>
    <w:p>
      <w:pPr>
        <w:numPr>
          <w:ilvl w:val="0"/>
          <w:numId w:val="0"/>
        </w:numPr>
        <w:autoSpaceDE/>
        <w:autoSpaceDN/>
        <w:snapToGrid w:val="0"/>
        <w:spacing w:before="0" w:after="160" w:line="500" w:lineRule="exact"/>
        <w:ind w:left="0" w:right="0" w:firstLine="640"/>
        <w:jc w:val="both"/>
        <w:rPr>
          <w:rFonts w:hint="default" w:ascii="仿宋_GB2312" w:hAnsi="仿宋_GB2312" w:eastAsia="仿宋_GB2312"/>
          <w:color w:val="auto"/>
          <w:position w:val="0"/>
          <w:sz w:val="32"/>
          <w:szCs w:val="32"/>
          <w:highlight w:val="none"/>
        </w:rPr>
      </w:pPr>
      <w:r>
        <w:rPr>
          <w:rFonts w:hint="default" w:ascii="仿宋_GB2312" w:hAnsi="仿宋_GB2312" w:eastAsia="仿宋_GB2312"/>
          <w:color w:val="auto"/>
          <w:position w:val="0"/>
          <w:sz w:val="32"/>
          <w:szCs w:val="32"/>
          <w:highlight w:val="none"/>
        </w:rPr>
        <w:t>独立核算机构</w:t>
      </w:r>
      <w:r>
        <w:rPr>
          <w:rFonts w:hint="eastAsia" w:ascii="仿宋_GB2312" w:hAnsi="仿宋_GB2312" w:eastAsia="仿宋_GB2312"/>
          <w:color w:val="auto"/>
          <w:position w:val="0"/>
          <w:sz w:val="32"/>
          <w:szCs w:val="32"/>
          <w:highlight w:val="none"/>
          <w:lang w:val="en-US" w:eastAsia="zh-CN"/>
        </w:rPr>
        <w:t>104</w:t>
      </w:r>
      <w:r>
        <w:rPr>
          <w:rFonts w:hint="default" w:ascii="仿宋_GB2312" w:hAnsi="仿宋_GB2312" w:eastAsia="仿宋_GB2312"/>
          <w:color w:val="auto"/>
          <w:position w:val="0"/>
          <w:sz w:val="32"/>
          <w:szCs w:val="32"/>
          <w:highlight w:val="none"/>
        </w:rPr>
        <w:t>个，独立编制机构108个</w:t>
      </w:r>
    </w:p>
    <w:p>
      <w:pPr>
        <w:numPr>
          <w:ilvl w:val="0"/>
          <w:numId w:val="0"/>
        </w:numPr>
        <w:autoSpaceDE/>
        <w:autoSpaceDN/>
        <w:snapToGrid w:val="0"/>
        <w:spacing w:before="0" w:after="160" w:line="500" w:lineRule="exact"/>
        <w:ind w:left="0" w:right="0" w:firstLine="640"/>
        <w:jc w:val="both"/>
        <w:rPr>
          <w:rFonts w:hint="default" w:ascii="仿宋_GB2312" w:hAnsi="仿宋_GB2312" w:eastAsia="仿宋_GB2312"/>
          <w:color w:val="auto"/>
          <w:position w:val="0"/>
          <w:sz w:val="32"/>
          <w:szCs w:val="32"/>
          <w:highlight w:val="none"/>
        </w:rPr>
      </w:pPr>
      <w:r>
        <w:rPr>
          <w:rFonts w:hint="default" w:ascii="仿宋_GB2312" w:hAnsi="仿宋_GB2312" w:eastAsia="仿宋_GB2312"/>
          <w:color w:val="auto"/>
          <w:position w:val="0"/>
          <w:sz w:val="32"/>
          <w:szCs w:val="32"/>
          <w:highlight w:val="none"/>
        </w:rPr>
        <w:t>3．人员情况</w:t>
      </w:r>
    </w:p>
    <w:p>
      <w:pPr>
        <w:numPr>
          <w:ilvl w:val="0"/>
          <w:numId w:val="0"/>
        </w:numPr>
        <w:autoSpaceDE/>
        <w:autoSpaceDN/>
        <w:snapToGrid w:val="0"/>
        <w:spacing w:before="0" w:after="160" w:line="500" w:lineRule="exact"/>
        <w:ind w:left="0"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年末在职实有人数5,847人其中：行政人员1,757人，参照152人，事业3,938人，离休人员</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人，其他人员</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人，遗属人员9人。</w:t>
      </w:r>
    </w:p>
    <w:p>
      <w:pPr>
        <w:numPr>
          <w:ilvl w:val="0"/>
          <w:numId w:val="0"/>
        </w:numPr>
        <w:autoSpaceDE/>
        <w:autoSpaceDN/>
        <w:spacing w:before="0" w:after="160" w:line="500" w:lineRule="exact"/>
        <w:ind w:left="0" w:right="0" w:firstLine="643"/>
        <w:jc w:val="both"/>
        <w:rPr>
          <w:rFonts w:hint="default" w:ascii="仿宋_GB2312" w:hAnsi="仿宋_GB2312" w:eastAsia="仿宋_GB2312"/>
          <w:color w:val="auto"/>
          <w:position w:val="0"/>
          <w:sz w:val="32"/>
          <w:szCs w:val="32"/>
          <w:highlight w:val="none"/>
        </w:rPr>
      </w:pPr>
      <w:r>
        <w:rPr>
          <w:rFonts w:hint="default" w:ascii="仿宋_GB2312" w:hAnsi="仿宋_GB2312" w:eastAsia="仿宋_GB2312"/>
          <w:b/>
          <w:color w:val="auto"/>
          <w:position w:val="0"/>
          <w:sz w:val="32"/>
          <w:szCs w:val="32"/>
          <w:highlight w:val="none"/>
        </w:rPr>
        <w:t>二、部门决算单位构成</w:t>
      </w:r>
    </w:p>
    <w:p>
      <w:pPr>
        <w:numPr>
          <w:ilvl w:val="0"/>
          <w:numId w:val="0"/>
        </w:numPr>
        <w:autoSpaceDE/>
        <w:autoSpaceDN/>
        <w:spacing w:before="0" w:after="160" w:line="500" w:lineRule="exact"/>
        <w:ind w:left="0" w:right="0" w:firstLine="640"/>
        <w:jc w:val="both"/>
        <w:rPr>
          <w:rFonts w:hint="default" w:ascii="仿宋_GB2312" w:hAnsi="仿宋_GB2312" w:eastAsia="仿宋_GB2312"/>
          <w:color w:val="auto"/>
          <w:position w:val="0"/>
          <w:sz w:val="32"/>
          <w:szCs w:val="32"/>
          <w:highlight w:val="none"/>
        </w:rPr>
      </w:pPr>
      <w:r>
        <w:rPr>
          <w:rFonts w:hint="default" w:ascii="仿宋_GB2312" w:hAnsi="仿宋_GB2312" w:eastAsia="仿宋_GB2312"/>
          <w:color w:val="auto"/>
          <w:position w:val="0"/>
          <w:sz w:val="32"/>
          <w:szCs w:val="32"/>
          <w:highlight w:val="none"/>
        </w:rPr>
        <w:t>从决算单位构成看，</w:t>
      </w:r>
      <w:r>
        <w:rPr>
          <w:rFonts w:hint="default" w:ascii="仿宋_GB2312" w:hAnsi="仿宋_GB2312" w:eastAsia="仿宋_GB2312"/>
          <w:color w:val="auto"/>
          <w:spacing w:val="-6"/>
          <w:position w:val="0"/>
          <w:sz w:val="32"/>
          <w:szCs w:val="32"/>
          <w:highlight w:val="none"/>
        </w:rPr>
        <w:t>纳入</w:t>
      </w:r>
      <w:r>
        <w:rPr>
          <w:rFonts w:hint="eastAsia" w:ascii="仿宋_GB2312" w:hAnsi="仿宋_GB2312" w:eastAsia="仿宋_GB2312"/>
          <w:color w:val="auto"/>
          <w:spacing w:val="-6"/>
          <w:position w:val="0"/>
          <w:sz w:val="32"/>
          <w:szCs w:val="32"/>
          <w:highlight w:val="none"/>
          <w:lang w:eastAsia="zh-CN"/>
        </w:rPr>
        <w:t>策勒</w:t>
      </w:r>
      <w:r>
        <w:rPr>
          <w:rFonts w:hint="default" w:ascii="仿宋_GB2312" w:hAnsi="仿宋_GB2312" w:eastAsia="仿宋_GB2312"/>
          <w:color w:val="auto"/>
          <w:spacing w:val="-6"/>
          <w:position w:val="0"/>
          <w:sz w:val="32"/>
          <w:szCs w:val="32"/>
          <w:highlight w:val="none"/>
        </w:rPr>
        <w:t>县201</w:t>
      </w:r>
      <w:r>
        <w:rPr>
          <w:rFonts w:hint="eastAsia" w:ascii="仿宋_GB2312" w:hAnsi="仿宋_GB2312" w:eastAsia="仿宋_GB2312"/>
          <w:color w:val="auto"/>
          <w:spacing w:val="-6"/>
          <w:position w:val="0"/>
          <w:sz w:val="32"/>
          <w:szCs w:val="32"/>
          <w:highlight w:val="none"/>
          <w:lang w:val="en-US" w:eastAsia="zh-CN"/>
        </w:rPr>
        <w:t>8</w:t>
      </w:r>
      <w:r>
        <w:rPr>
          <w:rFonts w:hint="default" w:ascii="仿宋_GB2312" w:hAnsi="仿宋_GB2312" w:eastAsia="仿宋_GB2312"/>
          <w:color w:val="auto"/>
          <w:spacing w:val="-6"/>
          <w:position w:val="0"/>
          <w:sz w:val="32"/>
          <w:szCs w:val="32"/>
          <w:highlight w:val="none"/>
        </w:rPr>
        <w:t>年部门决算编制范围的单位名单见下表：</w:t>
      </w:r>
    </w:p>
    <w:p>
      <w:pPr>
        <w:spacing w:line="500" w:lineRule="exact"/>
        <w:ind w:firstLine="616" w:firstLineChars="200"/>
        <w:rPr>
          <w:rFonts w:ascii="仿宋_GB2312" w:eastAsia="仿宋_GB2312"/>
          <w:spacing w:val="-6"/>
          <w:sz w:val="32"/>
          <w:szCs w:val="32"/>
        </w:rPr>
      </w:pPr>
    </w:p>
    <w:tbl>
      <w:tblPr>
        <w:tblStyle w:val="6"/>
        <w:tblW w:w="8336" w:type="dxa"/>
        <w:tblInd w:w="0" w:type="dxa"/>
        <w:shd w:val="clear" w:color="auto" w:fill="auto"/>
        <w:tblLayout w:type="fixed"/>
        <w:tblCellMar>
          <w:top w:w="0" w:type="dxa"/>
          <w:left w:w="0" w:type="dxa"/>
          <w:bottom w:w="0" w:type="dxa"/>
          <w:right w:w="0" w:type="dxa"/>
        </w:tblCellMar>
      </w:tblPr>
      <w:tblGrid>
        <w:gridCol w:w="6924"/>
        <w:gridCol w:w="1412"/>
      </w:tblGrid>
      <w:tr>
        <w:tblPrEx>
          <w:tblLayout w:type="fixed"/>
          <w:tblCellMar>
            <w:top w:w="0" w:type="dxa"/>
            <w:left w:w="0" w:type="dxa"/>
            <w:bottom w:w="0" w:type="dxa"/>
            <w:right w:w="0" w:type="dxa"/>
          </w:tblCellMar>
        </w:tblPrEx>
        <w:trPr>
          <w:trHeight w:val="492" w:hRule="atLeast"/>
        </w:trPr>
        <w:tc>
          <w:tcPr>
            <w:tcW w:w="6924"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41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新疆维吾尔自治区和田地区策勒县本级</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财政汇总</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新疆维吾尔自治区和田地区策勒县本级部门决算汇总</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财政汇总</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新疆维吾尔自治区和田地区中共策勒县委办公室</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新疆维吾尔自治区和田地区策勒县人民政府办公室</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新疆维吾尔自治区和田地区策勒县民族宗教事务委员</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新疆维吾尔自治区和田地区策勒县审计局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新疆和田地区策勒县人民代表大会常务委员会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新疆维吾尔自治区和田地区中国人民政治协商会议策勒县委员会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新疆维吾尔自治区和田地区策勒县中共策勒县纪律检查委员会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新疆维吾尔自治区和田地区策勒县中共策勒县委组织部</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新疆维吾尔自治区和田地区策勒县人民政府人事劳动和社会保障局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新疆维吾尔自治区和田地区策勒县人民政府接待科</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新疆维吾尔自治区和田地区策勒县统计局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新疆维吾尔自治区和田地区策勒县人民政府乡镇企业管理局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新疆维吾尔自治区和田地区策勒县财政局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新疆维吾尔自治区和田地区策勒县计划生育指导站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新疆维吾尔自治区和田地区策勒县公安局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新疆维吾尔自治区和田地区策勒县人民检察院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新疆维吾尔自治区和田地区策勒县人民法院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新疆维吾尔自治区和田地区策勒县人民政府司法局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新疆维吾尔自治区和田地区策勒县色日克街道办事处</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新疆维吾尔自治区和田地区策勒县发展和改革委员会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新疆维吾尔自治区和田地区策勒县市场监督管理局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新疆维吾尔自治区和田地区策勒县质量技术监督局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新疆维吾尔自治区和田地区策勒县人民政府教育局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新疆维吾尔自治区和田地区策勒县人民政府教育局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新疆维吾尔自治区和田地区策勒县幼儿园</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新疆维吾尔自治区和田地区策勒县第一小学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新疆维吾尔自治区和田地区策勒县第二小学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新疆维吾尔自治区和田地区策勒县第三小学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新疆维吾尔自治区和田地区策勒县策勒镇小学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新疆维吾尔自治区和田地区策勒县固拉合玛镇小学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新疆维吾尔自治区和田地区策勒县达玛沟乡小学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新疆维吾尔自治区和田地区策勒县恰哈乡小学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新疆维吾尔自治区和田地区策勒县乌鲁克萨依乡小学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新疆维吾尔自治区和田地区策勒县奴尔乡小学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新疆维吾尔自治区和田地区策勒县博斯坦乡小学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新疆维吾尔自治区和田地区策勒县第一中学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新疆维吾尔自治区和田地区策勒县第二中学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新疆维吾尔自治区和田地区策勒县第三中学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新疆维吾尔自治区和田地区策勒县策勒乡中学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新疆维吾尔自治区和田地区策勒县策勒乡托帕学校</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新疆维吾尔自治区和田地区策勒县固拉哈玛镇中学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新疆维吾尔自治区和田地区策勒县固拉哈玛镇吉格地里克吾塔格学校</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新疆维吾尔自治区和田地区策勒县达玛沟乡中学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新疆维吾尔自治区和田地区策勒县恰哈乡中学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新疆维吾尔自治区和田地区策勒县乌鲁克萨依中学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新疆维吾尔自治区和田地区策勒县奴尔乡中学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新疆维吾尔自治区和田地区策勒县奴尔乡沙依巴格中学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新疆维吾尔自治区和田地区策勒县博斯坦乡中学</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新疆维吾尔自治区和田地区策勒县职业高中</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新疆维吾尔自治区和田地区策勒县县委党校</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新疆维吾尔自治区和田地区策勒县文工团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新疆维吾尔自治区和田地区策勒县社会保险管理局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新疆维吾尔自治区和田地区策勒县民政局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新疆维吾尔自治区和田地区策勒县残疾人联合会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新疆维吾尔自治区和田地区策勒县卫生局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新疆维吾尔自治区和田地区策勒县人口和计划生育委员会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新疆维吾尔自治区和田地区策勒县卫生监督所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新疆维吾尔自治区和田地区策勒县妇幼保健站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新疆维吾尔自治区和田地区策勒县维吾尔医医院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新疆维吾尔自治区和田地区策勒县疾病预防控制中心</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新疆维吾尔自治区和田地区策勒县人民医院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新疆维吾尔自治区和田地区策勒县农业技术推广中心</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新疆维吾尔自治区和田地区策勒县种子管理站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新疆维吾尔自治区和田地区策勒县农经局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新疆维吾尔自治区和田地区策勒县农业局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新疆维吾尔自治区和田地区农业广播电视学校策勒县分校</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新疆维吾尔自治区和田地区策勒县动物卫生监督所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新疆维吾尔自治区和田地区策勒县畜牧兽医站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新疆维吾尔自治区和田地区策勒县草原工作站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新疆维吾尔自治区和田地区策勒县草原监理所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新疆维吾尔自治区和田地区策勒县农牧兽医局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新疆维吾尔自治区和田地区策勒县农牧机械管理局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新疆维吾尔自治区和田地区策勒县林业局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新疆维吾尔自治区和田地区策勒县水利局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新疆维吾尔自治区和田地区策勒县水源地管理站</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新疆维吾尔自治区和田地区策勒县扶贫开发领导小组办公室</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新疆维吾尔自治区和田地区策勒县国土资源局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新疆维吾尔自治区和田地区策勒县环境监察大队</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新疆维吾尔自治区和田地区策勒住房和城乡建设局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新疆维吾尔自治区和田地区策勒县城镇护路清洁队</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新疆维吾尔自治区和田地区策勒县科学技术局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新疆维吾尔自治区和田地区策勒县交通运输局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新疆维吾尔自治区和田地区策勒县安全生产监督管理局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新疆维吾尔自治区和田地区策勒县商务和经济信息化委员会</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新疆维吾尔自治区和田地区策勒县文化体育广播影视局</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新疆维吾尔自治区和田地区策勒县供销合作社联合社</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新疆维吾尔自治区和田地区策勒县乡镇部门决算汇总</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财政汇总</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新疆维吾尔自治区和田地区策勒县策勒镇人民政府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新疆维吾尔自治区和田地区策勒县固拉合玛镇人民政府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新疆维吾尔自治区和田地区策勒县达玛沟乡人民政府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新疆维吾尔自治区和田地区策勒县恰哈乡人民政府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新疆维吾尔自治区和田地区策勒县乌鲁克萨依乡人民政府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新疆维吾尔自治区和田地区策勒县奴尔乡人民政府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新疆维吾尔自治区和田地区策勒县博斯坦乡人民政府</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新疆维吾尔自治区和田地区策勒县策勒镇卫生院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新疆维吾尔自治区和田地区策勒县策勒乡卫生院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新疆维吾尔自治区和田地区策勒县固拉哈玛镇卫生院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新疆维吾尔自治区和田地区策勒县达玛沟乡卫生院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新疆维吾尔自治区和田地区策勒县恰哈乡卫生院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shd w:val="clear" w:color="auto" w:fill="auto"/>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新疆维吾尔自治区和田地区策勒县乌鲁克萨依乡卫生院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新疆维吾尔自治区和田地区策勒县奴尔乡卫生院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新疆维吾尔自治区和田地区策勒县博斯坦乡卫生院</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8" w:hRule="atLeast"/>
        </w:trPr>
        <w:tc>
          <w:tcPr>
            <w:tcW w:w="69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0"/>
                <w:szCs w:val="20"/>
                <w:u w:val="none"/>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2018年度收入374,382.21万元,与上年相比，增加82007.43万元，增长28.05%，增减变化主要原因是：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；支出384,743.65万元,与上年相比，增加97909.46万元，增长34.13%，增减变化主要原因是：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；结余2,836.42万元，与上年相比，</w:t>
      </w:r>
      <w:r>
        <w:rPr>
          <w:rFonts w:hint="eastAsia" w:ascii="仿宋_GB2312" w:eastAsia="仿宋_GB2312"/>
          <w:sz w:val="32"/>
          <w:szCs w:val="32"/>
          <w:lang w:eastAsia="zh-CN"/>
        </w:rPr>
        <w:t>减少</w:t>
      </w:r>
      <w:r>
        <w:rPr>
          <w:rFonts w:hint="eastAsia" w:ascii="仿宋_GB2312" w:eastAsia="仿宋_GB2312"/>
          <w:sz w:val="32"/>
          <w:szCs w:val="32"/>
        </w:rPr>
        <w:t>8975.18万元，降低75.99%。增减变化主要原因是：</w:t>
      </w:r>
      <w:r>
        <w:rPr>
          <w:rFonts w:hint="eastAsia" w:ascii="仿宋_GB2312" w:eastAsia="仿宋_GB2312"/>
          <w:sz w:val="32"/>
          <w:szCs w:val="32"/>
          <w:lang w:eastAsia="zh-CN"/>
        </w:rPr>
        <w:t>加快执行进度，年末结余资金减少</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374,382.21万元，其中：财政拨款收入362,902.37万元，占96.93%；上级补助收入5.00万元，占0.00%；事业收入8,011.34万元，占2.14%；经营收入1,150.25万元，占0.31%；附属单位缴款0.00万元，占0.00%；其他收入2,313.25万元，占0.62%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与年初预算数相比情况：本年收入年初预算数124,032.15万元，决算数374,382.21万元，预决算差异率201.84%，差异主要原因人员工资及社保基数调整，年中追加项目经费，导致预决算存在差异。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本年支出合计384,743.65万元，其中：基本支出109,007.55万元，占28.33%；项目支出274,585.85万元，占71.37%；上缴上级支出0.00万元，占0.00%；</w:t>
      </w:r>
      <w:r>
        <w:rPr>
          <w:rFonts w:hint="eastAsia" w:ascii="仿宋_GB2312" w:eastAsia="仿宋_GB2312"/>
          <w:spacing w:val="-6"/>
          <w:sz w:val="32"/>
          <w:szCs w:val="32"/>
        </w:rPr>
        <w:t>经营支出1,150.25万元，占0.30%；对附属单位补助支出0.00万元，占0.00%。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与年初预算数相比情况：本年支出年初预算数124,032.15万元，决算数384,743.65万元，预决算差异率210.20%，差异主要原因人员工资及社保基数调整，年中追加项目经费，导致预决算存在差异。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2018年度财政拨款收入362,902.37万元，与上年相比，增加81486.95万元，增长28.96%。增减变化的主要原因是：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；财政拨款支出373,819.00万元，与上年相比，增加98021.62万元，增长35.54%，增减变化的主要原因是：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；其中：基本支出100,367.45万元，项目支出273,451.55万元。财政拨款结转结余2,395.35万元，与上年相比，</w:t>
      </w:r>
      <w:r>
        <w:rPr>
          <w:rFonts w:hint="eastAsia" w:ascii="仿宋_GB2312" w:eastAsia="仿宋_GB2312"/>
          <w:sz w:val="32"/>
          <w:szCs w:val="32"/>
          <w:lang w:eastAsia="zh-CN"/>
        </w:rPr>
        <w:t>减少</w:t>
      </w:r>
      <w:r>
        <w:rPr>
          <w:rFonts w:hint="eastAsia" w:ascii="仿宋_GB2312" w:eastAsia="仿宋_GB2312"/>
          <w:sz w:val="32"/>
          <w:szCs w:val="32"/>
        </w:rPr>
        <w:t>9328.62万元，降低79.57%。增减变化的主要原因是</w:t>
      </w:r>
      <w:r>
        <w:rPr>
          <w:rFonts w:hint="eastAsia" w:ascii="仿宋_GB2312" w:eastAsia="仿宋_GB2312"/>
          <w:sz w:val="32"/>
          <w:szCs w:val="32"/>
          <w:lang w:eastAsia="zh-CN"/>
        </w:rPr>
        <w:t>加快执行进度，年末结余资金减少</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124,032.15万元，决算数362,902.37万元，预决算差异率192.59%，差异主要原因人员工资及社保基数调整，年中追加项目经费，导致预决算存在差异。财政拨款支出年初预算数124,032.15万元，决算数373,819.00万元，预决算差异率201.39%，差异主要原因人员工资及社保基数调整，年中追加项目经费，导致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2018年度一般公共预算财政拨款收入361,391.79万元。与上年相比，增加83916.59万元，增长30.24%。增减变化的主要原因是：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；一般公共预算财政拨款支出372,308.42万元。与上年相比，增加100572.92万元，增长37.01%。增减变化的主要原因是：</w:t>
      </w:r>
      <w:r>
        <w:rPr>
          <w:rFonts w:hint="eastAsia" w:ascii="仿宋_GB2312" w:eastAsia="仿宋_GB2312"/>
          <w:sz w:val="32"/>
          <w:szCs w:val="32"/>
          <w:lang w:eastAsia="zh-CN"/>
        </w:rPr>
        <w:t>一</w:t>
      </w:r>
      <w:r>
        <w:rPr>
          <w:rFonts w:hint="default" w:ascii="新宋体" w:hAnsi="新宋体" w:eastAsia="新宋体"/>
          <w:color w:val="auto"/>
          <w:position w:val="0"/>
          <w:sz w:val="32"/>
          <w:szCs w:val="32"/>
        </w:rPr>
        <w:t>是人员经费增加；二是项目比上年增加</w:t>
      </w:r>
      <w:r>
        <w:rPr>
          <w:rFonts w:hint="eastAsia" w:ascii="仿宋_GB2312" w:eastAsia="仿宋_GB2312"/>
          <w:sz w:val="32"/>
          <w:szCs w:val="32"/>
        </w:rPr>
        <w:t>；其中：按功能分类科目（按类级科目公开），一般公共服务支出38,358.49</w:t>
      </w:r>
      <w:r>
        <w:rPr>
          <w:rFonts w:hint="eastAsia" w:ascii="仿宋_GB2312" w:eastAsia="仿宋_GB2312"/>
          <w:sz w:val="32"/>
          <w:szCs w:val="32"/>
          <w:lang w:eastAsia="zh-CN"/>
        </w:rPr>
        <w:t>万元，</w:t>
      </w:r>
      <w:r>
        <w:rPr>
          <w:rFonts w:hint="eastAsia" w:ascii="仿宋_GB2312" w:eastAsia="仿宋_GB2312"/>
          <w:sz w:val="32"/>
          <w:szCs w:val="32"/>
        </w:rPr>
        <w:t>公共安全支出36,809.24</w:t>
      </w:r>
      <w:r>
        <w:rPr>
          <w:rFonts w:hint="eastAsia" w:ascii="仿宋_GB2312" w:eastAsia="仿宋_GB2312"/>
          <w:sz w:val="32"/>
          <w:szCs w:val="32"/>
          <w:lang w:eastAsia="zh-CN"/>
        </w:rPr>
        <w:t>万元，</w:t>
      </w:r>
      <w:r>
        <w:rPr>
          <w:rFonts w:hint="eastAsia" w:ascii="仿宋_GB2312" w:eastAsia="仿宋_GB2312"/>
          <w:sz w:val="32"/>
          <w:szCs w:val="32"/>
        </w:rPr>
        <w:t>教育支出62,973.15</w:t>
      </w:r>
      <w:r>
        <w:rPr>
          <w:rFonts w:hint="eastAsia" w:ascii="仿宋_GB2312" w:eastAsia="仿宋_GB2312"/>
          <w:sz w:val="32"/>
          <w:szCs w:val="32"/>
          <w:lang w:eastAsia="zh-CN"/>
        </w:rPr>
        <w:t>万元，</w:t>
      </w:r>
      <w:r>
        <w:rPr>
          <w:rFonts w:hint="eastAsia" w:ascii="仿宋_GB2312" w:eastAsia="仿宋_GB2312"/>
          <w:sz w:val="32"/>
          <w:szCs w:val="32"/>
        </w:rPr>
        <w:t>科学技术支出1,179.83</w:t>
      </w:r>
      <w:r>
        <w:rPr>
          <w:rFonts w:hint="eastAsia" w:ascii="仿宋_GB2312" w:eastAsia="仿宋_GB2312"/>
          <w:sz w:val="32"/>
          <w:szCs w:val="32"/>
          <w:lang w:eastAsia="zh-CN"/>
        </w:rPr>
        <w:t>万元，</w:t>
      </w:r>
      <w:r>
        <w:rPr>
          <w:rFonts w:hint="eastAsia" w:ascii="仿宋_GB2312" w:eastAsia="仿宋_GB2312"/>
          <w:sz w:val="32"/>
          <w:szCs w:val="32"/>
        </w:rPr>
        <w:t>文化体育与传媒支出2,599.05</w:t>
      </w:r>
      <w:r>
        <w:rPr>
          <w:rFonts w:hint="eastAsia" w:ascii="仿宋_GB2312" w:eastAsia="仿宋_GB2312"/>
          <w:sz w:val="32"/>
          <w:szCs w:val="32"/>
          <w:lang w:eastAsia="zh-CN"/>
        </w:rPr>
        <w:t>万元，</w:t>
      </w:r>
      <w:r>
        <w:rPr>
          <w:rFonts w:hint="eastAsia" w:ascii="仿宋_GB2312" w:eastAsia="仿宋_GB2312"/>
          <w:sz w:val="32"/>
          <w:szCs w:val="32"/>
        </w:rPr>
        <w:t>社会保障和就业支出23,152.46</w:t>
      </w:r>
      <w:r>
        <w:rPr>
          <w:rFonts w:hint="eastAsia" w:ascii="仿宋_GB2312" w:eastAsia="仿宋_GB2312"/>
          <w:sz w:val="32"/>
          <w:szCs w:val="32"/>
          <w:lang w:eastAsia="zh-CN"/>
        </w:rPr>
        <w:t>万元，</w:t>
      </w:r>
      <w:r>
        <w:rPr>
          <w:rFonts w:hint="eastAsia" w:ascii="仿宋_GB2312" w:eastAsia="仿宋_GB2312"/>
          <w:sz w:val="32"/>
          <w:szCs w:val="32"/>
        </w:rPr>
        <w:t>医疗卫生与计划生育支出12,869.35</w:t>
      </w:r>
      <w:r>
        <w:rPr>
          <w:rFonts w:hint="eastAsia" w:ascii="仿宋_GB2312" w:eastAsia="仿宋_GB2312"/>
          <w:sz w:val="32"/>
          <w:szCs w:val="32"/>
          <w:lang w:eastAsia="zh-CN"/>
        </w:rPr>
        <w:t>万元，</w:t>
      </w:r>
      <w:r>
        <w:rPr>
          <w:rFonts w:hint="eastAsia" w:ascii="仿宋_GB2312" w:eastAsia="仿宋_GB2312"/>
          <w:sz w:val="32"/>
          <w:szCs w:val="32"/>
        </w:rPr>
        <w:t>节能环保支出4,019.83</w:t>
      </w:r>
      <w:r>
        <w:rPr>
          <w:rFonts w:hint="eastAsia" w:ascii="仿宋_GB2312" w:eastAsia="仿宋_GB2312"/>
          <w:sz w:val="32"/>
          <w:szCs w:val="32"/>
          <w:lang w:eastAsia="zh-CN"/>
        </w:rPr>
        <w:t>万元，</w:t>
      </w:r>
      <w:r>
        <w:rPr>
          <w:rFonts w:hint="eastAsia" w:ascii="仿宋_GB2312" w:eastAsia="仿宋_GB2312"/>
          <w:sz w:val="32"/>
          <w:szCs w:val="32"/>
        </w:rPr>
        <w:t>城乡社区支出2,096.36</w:t>
      </w:r>
      <w:r>
        <w:rPr>
          <w:rFonts w:hint="eastAsia" w:ascii="仿宋_GB2312" w:eastAsia="仿宋_GB2312"/>
          <w:sz w:val="32"/>
          <w:szCs w:val="32"/>
          <w:lang w:eastAsia="zh-CN"/>
        </w:rPr>
        <w:t>万元，</w:t>
      </w:r>
      <w:r>
        <w:rPr>
          <w:rFonts w:hint="eastAsia" w:ascii="仿宋_GB2312" w:eastAsia="仿宋_GB2312"/>
          <w:sz w:val="32"/>
          <w:szCs w:val="32"/>
        </w:rPr>
        <w:t>农林水支出135,954.52</w:t>
      </w:r>
      <w:r>
        <w:rPr>
          <w:rFonts w:hint="eastAsia" w:ascii="仿宋_GB2312" w:eastAsia="仿宋_GB2312"/>
          <w:sz w:val="32"/>
          <w:szCs w:val="32"/>
          <w:lang w:eastAsia="zh-CN"/>
        </w:rPr>
        <w:t>万元，</w:t>
      </w:r>
      <w:r>
        <w:rPr>
          <w:rFonts w:hint="eastAsia" w:ascii="仿宋_GB2312" w:eastAsia="仿宋_GB2312"/>
          <w:sz w:val="32"/>
          <w:szCs w:val="32"/>
        </w:rPr>
        <w:t>交通运输支出11,335.17</w:t>
      </w:r>
      <w:r>
        <w:rPr>
          <w:rFonts w:hint="eastAsia" w:ascii="仿宋_GB2312" w:eastAsia="仿宋_GB2312"/>
          <w:sz w:val="32"/>
          <w:szCs w:val="32"/>
          <w:lang w:eastAsia="zh-CN"/>
        </w:rPr>
        <w:t>万元，</w:t>
      </w:r>
      <w:r>
        <w:rPr>
          <w:rFonts w:hint="eastAsia" w:ascii="仿宋_GB2312" w:eastAsia="仿宋_GB2312"/>
          <w:sz w:val="32"/>
          <w:szCs w:val="32"/>
        </w:rPr>
        <w:t>资源勘探信息等支出3,095.47</w:t>
      </w:r>
      <w:r>
        <w:rPr>
          <w:rFonts w:hint="eastAsia" w:ascii="仿宋_GB2312" w:eastAsia="仿宋_GB2312"/>
          <w:sz w:val="32"/>
          <w:szCs w:val="32"/>
          <w:lang w:eastAsia="zh-CN"/>
        </w:rPr>
        <w:t>万元，</w:t>
      </w:r>
      <w:r>
        <w:rPr>
          <w:rFonts w:hint="eastAsia" w:ascii="仿宋_GB2312" w:eastAsia="仿宋_GB2312"/>
          <w:sz w:val="32"/>
          <w:szCs w:val="32"/>
        </w:rPr>
        <w:t>商业服务业等支出211.08</w:t>
      </w:r>
      <w:r>
        <w:rPr>
          <w:rFonts w:hint="eastAsia" w:ascii="仿宋_GB2312" w:eastAsia="仿宋_GB2312"/>
          <w:sz w:val="32"/>
          <w:szCs w:val="32"/>
          <w:lang w:eastAsia="zh-CN"/>
        </w:rPr>
        <w:t>万元，</w:t>
      </w:r>
      <w:r>
        <w:rPr>
          <w:rFonts w:hint="eastAsia" w:ascii="仿宋_GB2312" w:eastAsia="仿宋_GB2312"/>
          <w:sz w:val="32"/>
          <w:szCs w:val="32"/>
        </w:rPr>
        <w:t>国土海洋气象等支出1,544.59</w:t>
      </w:r>
      <w:r>
        <w:rPr>
          <w:rFonts w:hint="eastAsia" w:ascii="仿宋_GB2312" w:eastAsia="仿宋_GB2312"/>
          <w:sz w:val="32"/>
          <w:szCs w:val="32"/>
          <w:lang w:eastAsia="zh-CN"/>
        </w:rPr>
        <w:t>万元，</w:t>
      </w:r>
      <w:r>
        <w:rPr>
          <w:rFonts w:hint="eastAsia" w:ascii="仿宋_GB2312" w:eastAsia="仿宋_GB2312"/>
          <w:sz w:val="32"/>
          <w:szCs w:val="32"/>
        </w:rPr>
        <w:t>住房保障支出28,889.62</w:t>
      </w:r>
      <w:r>
        <w:rPr>
          <w:rFonts w:hint="eastAsia" w:ascii="仿宋_GB2312" w:eastAsia="仿宋_GB2312"/>
          <w:sz w:val="32"/>
          <w:szCs w:val="32"/>
          <w:lang w:eastAsia="zh-CN"/>
        </w:rPr>
        <w:t>万元，</w:t>
      </w:r>
      <w:r>
        <w:rPr>
          <w:rFonts w:hint="eastAsia" w:ascii="仿宋_GB2312" w:eastAsia="仿宋_GB2312"/>
          <w:sz w:val="32"/>
          <w:szCs w:val="32"/>
        </w:rPr>
        <w:t>其他支出5,702.54</w:t>
      </w:r>
      <w:r>
        <w:rPr>
          <w:rFonts w:hint="eastAsia" w:ascii="仿宋_GB2312" w:eastAsia="仿宋_GB2312"/>
          <w:sz w:val="32"/>
          <w:szCs w:val="32"/>
          <w:lang w:eastAsia="zh-CN"/>
        </w:rPr>
        <w:t>万元，债务付息支出1,517.67万元。</w:t>
      </w:r>
      <w:r>
        <w:rPr>
          <w:rFonts w:hint="eastAsia" w:ascii="仿宋_GB2312" w:eastAsia="仿宋_GB2312"/>
          <w:sz w:val="32"/>
          <w:szCs w:val="32"/>
        </w:rPr>
        <w:t>按经济分类科目（按类级科目公开），工资福利支出83,910.72万元，商品和服务支出16,048.92万元，对个人和家庭的支出70,633.05万元，债务利息及费用支出14,447.28万元，资本性支出（基本建设）支出35,498.36万元，资本性支出146,758.40万元，对企业补助支出5,011.69万元</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124,032.15万元，决算数361,391.79万元，预决算差异率191.37%，差异主要原因人员工资及社保基数调整，年中追加项目经费，导致预决算存在差异。一般公共预算财政拨款支出年初预算数124,032.15万元，决算数372,308.42万元，预决算差异率200.17%，差异主要原因人员工资及社保基数调整，年中追加项目经费，导致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2018年度政府性基金预算财政拨款收入1,510.58万元，与上年相比，</w:t>
      </w:r>
      <w:r>
        <w:rPr>
          <w:rFonts w:hint="eastAsia" w:ascii="仿宋_GB2312" w:eastAsia="仿宋_GB2312"/>
          <w:sz w:val="32"/>
          <w:szCs w:val="32"/>
          <w:lang w:eastAsia="zh-CN"/>
        </w:rPr>
        <w:t>减少</w:t>
      </w:r>
      <w:r>
        <w:rPr>
          <w:rFonts w:hint="eastAsia" w:ascii="仿宋_GB2312" w:eastAsia="仿宋_GB2312"/>
          <w:sz w:val="32"/>
          <w:szCs w:val="32"/>
        </w:rPr>
        <w:t>2429.63万元，降低61.66%。增减变化的主要原因是：住房和城乡建设局</w:t>
      </w:r>
      <w:r>
        <w:rPr>
          <w:rFonts w:hint="eastAsia" w:ascii="仿宋_GB2312" w:eastAsia="仿宋_GB2312"/>
          <w:sz w:val="32"/>
          <w:szCs w:val="32"/>
          <w:lang w:eastAsia="zh-CN"/>
        </w:rPr>
        <w:t>等单位（城市维护费等项目经费）本年度无政府性基金收支</w:t>
      </w:r>
      <w:r>
        <w:rPr>
          <w:rFonts w:hint="eastAsia" w:ascii="仿宋_GB2312" w:eastAsia="仿宋_GB2312"/>
          <w:sz w:val="32"/>
          <w:szCs w:val="32"/>
        </w:rPr>
        <w:t>。政府性基金预算支出1,510.58万元。与上年相比，减少24</w:t>
      </w:r>
      <w:r>
        <w:rPr>
          <w:rFonts w:hint="eastAsia" w:ascii="仿宋_GB2312" w:eastAsia="仿宋_GB2312"/>
          <w:sz w:val="32"/>
          <w:szCs w:val="32"/>
          <w:lang w:val="en-US" w:eastAsia="zh-CN"/>
        </w:rPr>
        <w:t>04</w:t>
      </w:r>
      <w:r>
        <w:rPr>
          <w:rFonts w:hint="eastAsia" w:ascii="仿宋_GB2312" w:eastAsia="仿宋_GB2312"/>
          <w:sz w:val="32"/>
          <w:szCs w:val="32"/>
        </w:rPr>
        <w:t>.</w:t>
      </w:r>
      <w:r>
        <w:rPr>
          <w:rFonts w:hint="eastAsia" w:ascii="仿宋_GB2312" w:eastAsia="仿宋_GB2312"/>
          <w:sz w:val="32"/>
          <w:szCs w:val="32"/>
          <w:lang w:val="en-US" w:eastAsia="zh-CN"/>
        </w:rPr>
        <w:t>92</w:t>
      </w:r>
      <w:r>
        <w:rPr>
          <w:rFonts w:hint="eastAsia" w:ascii="仿宋_GB2312" w:eastAsia="仿宋_GB2312"/>
          <w:sz w:val="32"/>
          <w:szCs w:val="32"/>
        </w:rPr>
        <w:t>万元，降低62.81%。增减变化的主要原因是：住房和城乡建设局</w:t>
      </w:r>
      <w:r>
        <w:rPr>
          <w:rFonts w:hint="eastAsia" w:ascii="仿宋_GB2312" w:eastAsia="仿宋_GB2312"/>
          <w:sz w:val="32"/>
          <w:szCs w:val="32"/>
          <w:lang w:eastAsia="zh-CN"/>
        </w:rPr>
        <w:t>等单位（城市维护费等项目经费）本年度无政府性基金收支</w:t>
      </w:r>
      <w:r>
        <w:rPr>
          <w:rFonts w:hint="eastAsia" w:ascii="仿宋_GB2312" w:eastAsia="仿宋_GB2312"/>
          <w:sz w:val="32"/>
          <w:szCs w:val="32"/>
        </w:rPr>
        <w:t>。其中：按功能分类科目（按类级科目公开），其他支出1,470.58万元，商业服务业等支出40.00万元。按经济分类科目（按类级科目公开），商品和服务支出342.43万元，对个人和家庭的支出825.89万元，资本性支出342.26万元</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与年初预算数相比情况：政府性基金预算财政拨款收入年初预算数0.00万元，决算数1,510.58万元，预决算差异率0.00%，差异主要原因</w:t>
      </w:r>
      <w:r>
        <w:rPr>
          <w:rFonts w:hint="eastAsia" w:ascii="仿宋_GB2312" w:eastAsia="仿宋_GB2312"/>
          <w:sz w:val="32"/>
          <w:szCs w:val="32"/>
          <w:lang w:eastAsia="zh-CN"/>
        </w:rPr>
        <w:t>年中追加项目经费</w:t>
      </w:r>
      <w:r>
        <w:rPr>
          <w:rFonts w:hint="eastAsia" w:ascii="仿宋_GB2312" w:eastAsia="仿宋_GB2312"/>
          <w:sz w:val="32"/>
          <w:szCs w:val="32"/>
        </w:rPr>
        <w:t>。政府性基金预算财政拨款支出年初预算数0.00万元，决算数1,510.58万元，预决算差异率0.00%，差异主要原因</w:t>
      </w:r>
      <w:r>
        <w:rPr>
          <w:rFonts w:hint="eastAsia" w:ascii="仿宋_GB2312" w:eastAsia="仿宋_GB2312"/>
          <w:sz w:val="32"/>
          <w:szCs w:val="32"/>
          <w:lang w:eastAsia="zh-CN"/>
        </w:rPr>
        <w:t>年中追加项目经费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年末结转结余2,836.42万元。与上年相比，</w:t>
      </w:r>
      <w:r>
        <w:rPr>
          <w:rFonts w:hint="eastAsia" w:ascii="仿宋_GB2312" w:eastAsia="仿宋_GB2312"/>
          <w:sz w:val="32"/>
          <w:szCs w:val="32"/>
          <w:lang w:eastAsia="zh-CN"/>
        </w:rPr>
        <w:t>减少</w:t>
      </w:r>
      <w:r>
        <w:rPr>
          <w:rFonts w:hint="eastAsia" w:ascii="仿宋_GB2312" w:eastAsia="仿宋_GB2312"/>
          <w:sz w:val="32"/>
          <w:szCs w:val="32"/>
        </w:rPr>
        <w:t>8975.18万元，降低75.99%。</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其中财政拨款结转结余2,395.35万元。与上年相比，</w:t>
      </w:r>
      <w:r>
        <w:rPr>
          <w:rFonts w:hint="eastAsia" w:ascii="仿宋_GB2312" w:eastAsia="仿宋_GB2312"/>
          <w:sz w:val="32"/>
          <w:szCs w:val="32"/>
          <w:lang w:eastAsia="zh-CN"/>
        </w:rPr>
        <w:t>减少</w:t>
      </w:r>
      <w:r>
        <w:rPr>
          <w:rFonts w:hint="eastAsia" w:ascii="仿宋_GB2312" w:eastAsia="仿宋_GB2312"/>
          <w:sz w:val="32"/>
          <w:szCs w:val="32"/>
        </w:rPr>
        <w:t>9328.62万元，降低79.57%。</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2018年度一般公共预算“三公”经费支出决算1,522.27万元，比上年增加115.83万元，增长8.24%，增加原因是</w:t>
      </w:r>
      <w:r>
        <w:rPr>
          <w:rFonts w:hint="eastAsia" w:ascii="仿宋_GB2312" w:eastAsia="仿宋_GB2312"/>
          <w:sz w:val="32"/>
          <w:szCs w:val="32"/>
          <w:lang w:eastAsia="zh-CN"/>
        </w:rPr>
        <w:t>安排外出工作多，今年燃料费比较多维修费较多</w:t>
      </w:r>
      <w:r>
        <w:rPr>
          <w:rFonts w:hint="eastAsia" w:ascii="仿宋_GB2312" w:eastAsia="仿宋_GB2312"/>
          <w:sz w:val="32"/>
          <w:szCs w:val="32"/>
        </w:rPr>
        <w:t>。其中，因公出国（境）费支出0.00万元，占0.00%，比上年增加0.0万元，降低0%，减少原因是</w:t>
      </w:r>
      <w:r>
        <w:rPr>
          <w:rFonts w:hint="eastAsia" w:ascii="仿宋_GB2312" w:eastAsia="仿宋_GB2312"/>
          <w:sz w:val="32"/>
          <w:szCs w:val="32"/>
          <w:lang w:eastAsia="zh-CN"/>
        </w:rPr>
        <w:t>本县无</w:t>
      </w:r>
      <w:r>
        <w:rPr>
          <w:rFonts w:hint="eastAsia" w:ascii="仿宋_GB2312" w:eastAsia="仿宋_GB2312"/>
          <w:sz w:val="32"/>
          <w:szCs w:val="32"/>
        </w:rPr>
        <w:t>因公出国（境）费支出；公务用车购置及运行维护费支出1,412.16万元，占92.77%，比上年增加122.68万元，增长9.51%，增加原因是</w:t>
      </w:r>
      <w:r>
        <w:rPr>
          <w:rFonts w:hint="eastAsia" w:ascii="仿宋_GB2312" w:eastAsia="仿宋_GB2312"/>
          <w:sz w:val="32"/>
          <w:szCs w:val="32"/>
          <w:lang w:eastAsia="zh-CN"/>
        </w:rPr>
        <w:t>因领导组织安排到外出工作多，今年燃料费比较多维修费较多</w:t>
      </w:r>
      <w:r>
        <w:rPr>
          <w:rFonts w:hint="eastAsia" w:ascii="仿宋_GB2312" w:eastAsia="仿宋_GB2312"/>
          <w:sz w:val="32"/>
          <w:szCs w:val="32"/>
        </w:rPr>
        <w:t>。公务接待费支出110.11万元，占7.23%，比上年减少6.85万元，降低5.86%，减少原因是</w:t>
      </w:r>
      <w:r>
        <w:rPr>
          <w:rFonts w:hint="eastAsia" w:ascii="仿宋_GB2312" w:eastAsia="仿宋_GB2312"/>
          <w:sz w:val="32"/>
          <w:szCs w:val="32"/>
          <w:lang w:eastAsia="zh-CN"/>
        </w:rPr>
        <w:t>严格执行八项规定，厉行节约压减经费</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因公出国（境）费支出0.00万元。新疆维吾尔自治区和田地区策勒县</w:t>
      </w:r>
      <w:r>
        <w:rPr>
          <w:rFonts w:hint="eastAsia" w:ascii="仿宋_GB2312" w:eastAsia="仿宋_GB2312"/>
          <w:sz w:val="32"/>
          <w:szCs w:val="32"/>
          <w:lang w:eastAsia="zh-CN"/>
        </w:rPr>
        <w:t>本级</w:t>
      </w:r>
      <w:r>
        <w:rPr>
          <w:rFonts w:hint="eastAsia" w:ascii="仿宋_GB2312" w:eastAsia="仿宋_GB2312"/>
          <w:sz w:val="32"/>
          <w:szCs w:val="32"/>
        </w:rPr>
        <w:t>全年使用一般公共预算财政拨款安排的出国（境）团组0个，累计0人次。开支内容包括：</w:t>
      </w:r>
      <w:r>
        <w:rPr>
          <w:rFonts w:hint="eastAsia" w:ascii="仿宋_GB2312" w:eastAsia="仿宋_GB2312"/>
          <w:sz w:val="32"/>
          <w:szCs w:val="32"/>
          <w:lang w:eastAsia="zh-CN"/>
        </w:rPr>
        <w:t>未安排支出</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公务用车购置及运行维护费1,412.16万元,其中，公务用车购置158.72万元，公务用车运行维护费1,253.44万元。主要用于</w:t>
      </w:r>
      <w:r>
        <w:rPr>
          <w:rFonts w:hint="eastAsia" w:ascii="仿宋_GB2312" w:eastAsia="仿宋_GB2312"/>
          <w:sz w:val="32"/>
          <w:szCs w:val="32"/>
          <w:lang w:eastAsia="zh-CN"/>
        </w:rPr>
        <w:t>车辆燃油费及维护费</w:t>
      </w:r>
      <w:r>
        <w:rPr>
          <w:rFonts w:hint="eastAsia" w:ascii="仿宋_GB2312" w:eastAsia="仿宋_GB2312"/>
          <w:sz w:val="32"/>
          <w:szCs w:val="32"/>
        </w:rPr>
        <w:t>等。单位一般公共财政拨款安排的公务用车购置量5辆，保有量为481辆。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公务接待费110.11万元。具体是：国内公务接待支出110.11万元，主要是</w:t>
      </w:r>
      <w:r>
        <w:rPr>
          <w:rFonts w:hint="eastAsia" w:ascii="仿宋_GB2312" w:eastAsia="仿宋_GB2312"/>
          <w:sz w:val="32"/>
          <w:szCs w:val="32"/>
          <w:lang w:eastAsia="zh-CN"/>
        </w:rPr>
        <w:t>人员接待费用</w:t>
      </w:r>
      <w:r>
        <w:rPr>
          <w:rFonts w:hint="eastAsia" w:ascii="仿宋_GB2312" w:eastAsia="仿宋_GB2312"/>
          <w:sz w:val="32"/>
          <w:szCs w:val="32"/>
        </w:rPr>
        <w:t>等。新疆维吾尔自治区和田地区策勒县</w:t>
      </w:r>
      <w:r>
        <w:rPr>
          <w:rFonts w:hint="eastAsia" w:ascii="仿宋_GB2312" w:eastAsia="仿宋_GB2312"/>
          <w:sz w:val="32"/>
          <w:szCs w:val="32"/>
          <w:lang w:eastAsia="zh-CN"/>
        </w:rPr>
        <w:t>本级</w:t>
      </w:r>
      <w:r>
        <w:rPr>
          <w:rFonts w:hint="eastAsia" w:ascii="仿宋_GB2312" w:eastAsia="仿宋_GB2312"/>
          <w:sz w:val="32"/>
          <w:szCs w:val="32"/>
        </w:rPr>
        <w:t>国内公务接待1,002批次，82,331人次。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与年初预算数相比情况：一般公共预算“三公”经费支出年初预算数1,558.24万元，决算数1,522.27万元，预决算差异率-2.31%，差异主要原因</w:t>
      </w:r>
      <w:r>
        <w:rPr>
          <w:rFonts w:hint="eastAsia" w:ascii="仿宋_GB2312" w:eastAsia="仿宋_GB2312"/>
          <w:sz w:val="32"/>
          <w:szCs w:val="32"/>
          <w:lang w:eastAsia="zh-CN"/>
        </w:rPr>
        <w:t>严格执行八项规定，厉行节约压减经费</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严格执行八项规定，厉行节约压减经费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预算数159万元，决算数158.72万元，预决算差异率0.00%，差异主要原因</w:t>
      </w:r>
      <w:r>
        <w:rPr>
          <w:rFonts w:hint="eastAsia" w:ascii="仿宋_GB2312" w:eastAsia="仿宋_GB2312"/>
          <w:sz w:val="32"/>
          <w:szCs w:val="32"/>
          <w:lang w:eastAsia="zh-CN"/>
        </w:rPr>
        <w:t>预决算基本无差异，可忽略不计</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预算数1,289.24万元，决算数1,253.44万元，预决算差异率-2.78%，差异主要原因</w:t>
      </w:r>
      <w:r>
        <w:rPr>
          <w:rFonts w:hint="eastAsia" w:ascii="仿宋_GB2312" w:eastAsia="仿宋_GB2312"/>
          <w:sz w:val="32"/>
          <w:szCs w:val="32"/>
          <w:lang w:eastAsia="zh-CN"/>
        </w:rPr>
        <w:t>严格执行八项规定，厉行节约压减经费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预算数110.28万元，决算数110.11万元，预决算差异率-0.15%，差异主要原因</w:t>
      </w:r>
      <w:r>
        <w:rPr>
          <w:rFonts w:hint="eastAsia" w:ascii="仿宋_GB2312" w:eastAsia="仿宋_GB2312"/>
          <w:sz w:val="32"/>
          <w:szCs w:val="32"/>
          <w:lang w:eastAsia="zh-CN"/>
        </w:rPr>
        <w:t>严格执行八项规定，厉行节约压减经费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2018年度新疆维吾尔自治区和田地区策勒县</w:t>
      </w:r>
      <w:r>
        <w:rPr>
          <w:rFonts w:hint="eastAsia" w:ascii="仿宋_GB2312" w:eastAsia="仿宋_GB2312"/>
          <w:sz w:val="32"/>
          <w:szCs w:val="32"/>
          <w:lang w:eastAsia="zh-CN"/>
        </w:rPr>
        <w:t>本级</w:t>
      </w:r>
      <w:r>
        <w:rPr>
          <w:rFonts w:hint="eastAsia" w:ascii="仿宋_GB2312" w:eastAsia="仿宋_GB2312"/>
          <w:sz w:val="32"/>
          <w:szCs w:val="32"/>
        </w:rPr>
        <w:t>机关运行经费支出4,806.50万元，比上年</w:t>
      </w:r>
      <w:r>
        <w:rPr>
          <w:rFonts w:hint="eastAsia" w:ascii="仿宋_GB2312" w:eastAsia="仿宋_GB2312"/>
          <w:sz w:val="32"/>
          <w:szCs w:val="32"/>
          <w:lang w:eastAsia="zh-CN"/>
        </w:rPr>
        <w:t>减少</w:t>
      </w:r>
      <w:r>
        <w:rPr>
          <w:rFonts w:hint="eastAsia" w:ascii="仿宋_GB2312" w:eastAsia="仿宋_GB2312"/>
          <w:sz w:val="32"/>
          <w:szCs w:val="32"/>
        </w:rPr>
        <w:t>2938.92万元，降低37.5%，主要原因是</w:t>
      </w:r>
      <w:r>
        <w:rPr>
          <w:rFonts w:hint="eastAsia" w:ascii="仿宋_GB2312" w:eastAsia="仿宋_GB2312"/>
          <w:sz w:val="32"/>
          <w:szCs w:val="32"/>
          <w:lang w:eastAsia="zh-CN"/>
        </w:rPr>
        <w:t>厉行节约，压减公用经费支出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2018年度政府采购支出总额160,970.34万元，其中：政府采购货物支出87,390.78万元、政府采购工程支出59,727.89万元、政府采购服务支出13,851.67万元。</w:t>
      </w:r>
    </w:p>
    <w:p>
      <w:pPr>
        <w:numPr>
          <w:ilvl w:val="0"/>
          <w:numId w:val="1"/>
        </w:num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国有资产占用情况说明</w:t>
      </w:r>
    </w:p>
    <w:p>
      <w:pPr>
        <w:numPr>
          <w:ilvl w:val="0"/>
          <w:numId w:val="0"/>
        </w:num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截至2018年12月31日，单位共有车辆548辆，价值7,720.78万元，其中：部级领导干部用车0辆、主要领导干部用车16辆、机要通信用车2辆、应急保障用车3辆、离退休干部用车0辆、其他用车3</w:t>
      </w:r>
      <w:r>
        <w:rPr>
          <w:rFonts w:hint="eastAsia" w:ascii="仿宋_GB2312" w:eastAsia="仿宋_GB2312"/>
          <w:sz w:val="32"/>
          <w:szCs w:val="32"/>
          <w:lang w:val="en-US" w:eastAsia="zh-CN"/>
        </w:rPr>
        <w:t>35</w:t>
      </w:r>
      <w:r>
        <w:rPr>
          <w:rFonts w:hint="eastAsia" w:ascii="仿宋_GB2312" w:eastAsia="仿宋_GB2312"/>
          <w:sz w:val="32"/>
          <w:szCs w:val="32"/>
        </w:rPr>
        <w:t>辆，其他用车主要是：</w:t>
      </w:r>
      <w:r>
        <w:rPr>
          <w:rFonts w:hint="eastAsia" w:ascii="仿宋_GB2312" w:eastAsia="仿宋_GB2312"/>
          <w:sz w:val="32"/>
          <w:szCs w:val="32"/>
          <w:lang w:eastAsia="zh-CN"/>
        </w:rPr>
        <w:t>一般公务用车</w:t>
      </w:r>
      <w:r>
        <w:rPr>
          <w:rFonts w:hint="eastAsia" w:ascii="仿宋_GB2312" w:eastAsia="仿宋_GB2312"/>
          <w:sz w:val="32"/>
          <w:szCs w:val="32"/>
        </w:rPr>
        <w:t>；单位价值50万元以上通用设备29台（套）、单位价值100万元以上专用设备6台（套）。</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autoSpaceDE/>
        <w:autoSpaceDN/>
        <w:spacing w:before="0" w:after="160" w:line="500" w:lineRule="exact"/>
        <w:ind w:left="0" w:right="0" w:firstLine="640" w:firstLineChars="200"/>
        <w:jc w:val="both"/>
        <w:rPr>
          <w:rFonts w:hint="eastAsia" w:ascii="仿宋_GB2312" w:hAnsi="Calibri" w:eastAsia="仿宋_GB2312"/>
          <w:sz w:val="32"/>
          <w:szCs w:val="32"/>
          <w:lang w:val="en-GB"/>
        </w:rPr>
      </w:pPr>
      <w:r>
        <w:rPr>
          <w:rFonts w:hint="eastAsia" w:ascii="仿宋_GB2312" w:eastAsia="仿宋_GB2312"/>
          <w:sz w:val="32"/>
          <w:szCs w:val="32"/>
        </w:rPr>
        <w:t>单位支出功能分类说明</w:t>
      </w:r>
      <w:r>
        <w:rPr>
          <w:rFonts w:hint="eastAsia" w:ascii="仿宋_GB2312" w:hAnsi="Calibri" w:eastAsia="仿宋_GB2312"/>
          <w:sz w:val="32"/>
          <w:szCs w:val="32"/>
          <w:lang w:val="en-GB"/>
        </w:rPr>
        <w:t>。</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其他人大事务支出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2010301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2010350</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事业运行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2010399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其他政府办公厅（室）及相关机构事务支出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2010401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2010507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专项普查活动</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2010601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2010801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2010899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其他审计事务支出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2011099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其他人力资源事务支出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2011399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其他商贸事务支出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2011501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2011599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其他工商行政管理事务支出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2011701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2012999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其他群众团体事务支出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2013150</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事业运行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2013299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其他组织事务支出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2013499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其他统战事务支出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2013601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2013699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其他共产党事务支出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2040204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治安管理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2040211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禁毒管理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2040212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道路交通管理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2040401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2040499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其他检察支出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2040501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2040599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其他法院支出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2040601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2040607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法律援助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2040699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其他司法支出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2049901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其他公共安全支出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学前教育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小学教育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初中教育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高中教育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高等教育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2050299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其他普通教育支出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2050302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中专教育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2050303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技校教育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2050304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职业高中教育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2050999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其他教育费附加安排的支出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2060203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自然科学基金</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2060599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其他科技条件与服务支出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2060702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科普活动</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2060799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其他科学技术普及支出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2070107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艺术表演团体</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其他文化支出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2070205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博物馆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2070404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广播</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2070406</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电影</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2070409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版权管理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2070499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其他新闻出版广播影视支出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2079999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其他文化体育与传媒支出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2080109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社会保险经办机构</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2080207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行政区划和地名管理</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2080503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离退休人员管理机构</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2080505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机关事业单位基本养老保险缴费支出★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2080506</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机关事业单位职业年金缴费支出★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2080507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对机关事业单位基本养老保险基金的补助★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2080699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其他企业改革发展补助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2080799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其他就业补助支出★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2080802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伤残抚恤</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2081001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儿童福利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2081002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老年福利</w:t>
      </w:r>
      <w:bookmarkStart w:id="0" w:name="_GoBack"/>
      <w:bookmarkEnd w:id="0"/>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2081099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其他社会福利支出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2081104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残疾人康复</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2081105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残疾人就业和扶贫</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2081107</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残疾人生活和护理补贴★</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其他残疾人事业支出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2081501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中央自然灾害生活补助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2081902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农村最低生活保障金支出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2082002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流浪乞讨人员救助支出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2082502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其他农村生活救助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2082602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财政对城乡居民基本养老保险基金的补助★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2089901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其他社会保障和就业支出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综合医院</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2100202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中医（民族）医院</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2100299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其他公立医院支出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2100302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乡镇卫生院</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2100399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其他基层医疗卫生机构支出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2100403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妇幼保健机构</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2100408</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基本公共卫生服务</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2100409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重大公共卫生专项</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2100499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其他公共卫生支出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2100799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其他计划生育事务支出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2101204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财政对城镇居民基本医疗保险基金的补助★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2101301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城乡医疗救助★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2101401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优抚对象医疗补助★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2110602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退耕现金</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2110804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退牧还草工程建设</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2120101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2120801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征地和拆迁补偿支出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2120804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农村基础设施建设支出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2130106</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科技转化与推广服务</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2130108</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病虫害控制</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2130119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防灾救灾</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2130122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农业生产支持补贴</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2130135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农业资源保护修复与利用</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2130152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对高校毕业生到基层任职补助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其他农业支出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2130205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森林培育</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2130209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森林生态效益补偿</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2130213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林业执法与监督</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2130301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2130314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防汛</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2130316</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农田水利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2130399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其他水利支出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2130501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2130502</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一般行政管理事务</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2130504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农村基础设施建设</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2130505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生产发展</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2130599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其他扶贫支出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2130701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对村级一事一议的补助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2130705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对村民委员会和村党支部的补助</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2130799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其他农村综合改革支出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2130801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支持农村金融机构</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2130803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农业保险保费补贴</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2130804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创业担保贷款贴息★</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2130899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其他普惠金融发展支出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2140101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2150204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纺织业</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2150805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中小企业发展专项</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2150899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其他支持中小企业发展和管理支出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2160201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2160219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民贸民品贷款贴息</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2160250</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事业运行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2160599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其他旅游业管理与服务支出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2200101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行政运行</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2200199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其他国土资源事务支出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2210103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棚户区改造</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2210105</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农村危房改造</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2210199</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其他保障性安居工程支出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2220403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储备粮（油）库建设</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2296003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用于体育事业的彩票公益金支出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2296004</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用于教育事业的彩票公益金支出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2296006</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用于残疾人事业的彩票公益金支出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2296010</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用于文化事业的彩票公益金支出</w:t>
      </w:r>
    </w:p>
    <w:p>
      <w:pPr>
        <w:numPr>
          <w:ilvl w:val="0"/>
          <w:numId w:val="0"/>
        </w:numPr>
        <w:autoSpaceDE/>
        <w:autoSpaceDN/>
        <w:spacing w:before="0" w:after="160" w:line="500" w:lineRule="exact"/>
        <w:ind w:left="0" w:right="0" w:firstLine="0"/>
        <w:jc w:val="both"/>
        <w:rPr>
          <w:rFonts w:hint="default" w:ascii="仿宋_GB2312" w:hAnsi="Times New Roman" w:eastAsia="Times New Roman"/>
          <w:color w:val="auto"/>
          <w:position w:val="0"/>
          <w:sz w:val="32"/>
          <w:szCs w:val="32"/>
        </w:rPr>
      </w:pPr>
      <w:r>
        <w:rPr>
          <w:rFonts w:hint="default" w:ascii="仿宋_GB2312" w:hAnsi="Times New Roman" w:eastAsia="Times New Roman"/>
          <w:color w:val="auto"/>
          <w:position w:val="0"/>
          <w:sz w:val="32"/>
          <w:szCs w:val="32"/>
        </w:rPr>
        <w:t>2296013</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用于城乡医疗救助的彩票公益金支出</w:t>
      </w:r>
    </w:p>
    <w:p>
      <w:pPr>
        <w:numPr>
          <w:ilvl w:val="0"/>
          <w:numId w:val="0"/>
        </w:numPr>
        <w:autoSpaceDE/>
        <w:autoSpaceDN/>
        <w:spacing w:before="0" w:after="160" w:line="500" w:lineRule="exact"/>
        <w:ind w:left="0" w:right="0" w:firstLine="0"/>
        <w:jc w:val="both"/>
        <w:rPr>
          <w:rFonts w:ascii="仿宋_GB2312" w:eastAsia="仿宋_GB2312"/>
          <w:b/>
          <w:sz w:val="32"/>
          <w:szCs w:val="32"/>
        </w:rPr>
      </w:pPr>
      <w:r>
        <w:rPr>
          <w:rFonts w:hint="default" w:ascii="仿宋_GB2312" w:hAnsi="Times New Roman" w:eastAsia="Times New Roman"/>
          <w:color w:val="auto"/>
          <w:position w:val="0"/>
          <w:sz w:val="32"/>
          <w:szCs w:val="32"/>
        </w:rPr>
        <w:t>2299901</w:t>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ab/>
      </w:r>
      <w:r>
        <w:rPr>
          <w:rFonts w:hint="default" w:ascii="仿宋_GB2312" w:hAnsi="Times New Roman" w:eastAsia="Times New Roman"/>
          <w:color w:val="auto"/>
          <w:position w:val="0"/>
          <w:sz w:val="32"/>
          <w:szCs w:val="32"/>
        </w:rPr>
        <w:t>其他支出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760C"/>
    <w:multiLevelType w:val="singleLevel"/>
    <w:tmpl w:val="636C760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413B20"/>
    <w:rsid w:val="0058643C"/>
    <w:rsid w:val="006059F7"/>
    <w:rsid w:val="009A4996"/>
    <w:rsid w:val="00CF769E"/>
    <w:rsid w:val="00D923F6"/>
    <w:rsid w:val="020348A3"/>
    <w:rsid w:val="078A2138"/>
    <w:rsid w:val="07E711DB"/>
    <w:rsid w:val="11A7711A"/>
    <w:rsid w:val="1B543A91"/>
    <w:rsid w:val="1F0359C6"/>
    <w:rsid w:val="1FDA751F"/>
    <w:rsid w:val="22EE14DE"/>
    <w:rsid w:val="257E60BE"/>
    <w:rsid w:val="2D80094A"/>
    <w:rsid w:val="3799738D"/>
    <w:rsid w:val="39EF0EDA"/>
    <w:rsid w:val="423B59CF"/>
    <w:rsid w:val="45520D84"/>
    <w:rsid w:val="46777FB3"/>
    <w:rsid w:val="4FC95511"/>
    <w:rsid w:val="52F07502"/>
    <w:rsid w:val="53464058"/>
    <w:rsid w:val="572E68E1"/>
    <w:rsid w:val="65016379"/>
    <w:rsid w:val="66110A51"/>
    <w:rsid w:val="685506F0"/>
    <w:rsid w:val="69EA2118"/>
    <w:rsid w:val="740A3FA9"/>
    <w:rsid w:val="77712217"/>
    <w:rsid w:val="79A33815"/>
    <w:rsid w:val="7DC9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7"/>
    <w:qFormat/>
    <w:uiPriority w:val="0"/>
    <w:pPr>
      <w:jc w:val="left"/>
    </w:pPr>
    <w:rPr>
      <w:rFonts w:ascii="Times New Roman" w:hAnsi="Times New Roman" w:eastAsia="宋体" w:cs="Times New Roman"/>
      <w:szCs w:val="24"/>
    </w:rPr>
  </w:style>
  <w:style w:type="paragraph" w:styleId="3">
    <w:name w:val="Balloon Text"/>
    <w:basedOn w:val="1"/>
    <w:link w:val="8"/>
    <w:semiHidden/>
    <w:unhideWhenUsed/>
    <w:qFormat/>
    <w:uiPriority w:val="99"/>
    <w:rPr>
      <w:sz w:val="18"/>
      <w:szCs w:val="18"/>
    </w:rPr>
  </w:style>
  <w:style w:type="character" w:styleId="5">
    <w:name w:val="annotation reference"/>
    <w:basedOn w:val="4"/>
    <w:semiHidden/>
    <w:unhideWhenUsed/>
    <w:qFormat/>
    <w:uiPriority w:val="99"/>
    <w:rPr>
      <w:sz w:val="21"/>
      <w:szCs w:val="21"/>
    </w:rPr>
  </w:style>
  <w:style w:type="character" w:customStyle="1" w:styleId="7">
    <w:name w:val="批注文字 Char"/>
    <w:basedOn w:val="4"/>
    <w:link w:val="2"/>
    <w:qFormat/>
    <w:uiPriority w:val="0"/>
    <w:rPr>
      <w:rFonts w:ascii="Times New Roman" w:hAnsi="Times New Roman" w:eastAsia="宋体" w:cs="Times New Roman"/>
      <w:szCs w:val="24"/>
    </w:rPr>
  </w:style>
  <w:style w:type="character" w:customStyle="1" w:styleId="8">
    <w:name w:val="批注框文本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783</Words>
  <Characters>4469</Characters>
  <Lines>37</Lines>
  <Paragraphs>10</Paragraphs>
  <TotalTime>28</TotalTime>
  <ScaleCrop>false</ScaleCrop>
  <LinksUpToDate>false</LinksUpToDate>
  <CharactersWithSpaces>5242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huhu</cp:lastModifiedBy>
  <dcterms:modified xsi:type="dcterms:W3CDTF">2021-05-14T08:56:25Z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