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黑体" w:hAnsi="黑体" w:eastAsia="黑体" w:cs="黑体"/>
          <w:color w:val="auto"/>
          <w:sz w:val="44"/>
          <w:szCs w:val="44"/>
          <w:highlight w:val="none"/>
          <w:lang w:eastAsia="zh-CN"/>
        </w:rPr>
      </w:pPr>
    </w:p>
    <w:p>
      <w:pPr>
        <w:bidi w:val="0"/>
        <w:rPr>
          <w:rFonts w:hint="eastAsia"/>
          <w:color w:val="auto"/>
          <w:highlight w:val="none"/>
          <w:lang w:eastAsia="zh-CN"/>
        </w:rPr>
      </w:pPr>
    </w:p>
    <w:p>
      <w:pPr>
        <w:pStyle w:val="13"/>
        <w:ind w:left="0" w:leftChars="0" w:firstLine="0" w:firstLineChars="0"/>
        <w:jc w:val="center"/>
        <w:rPr>
          <w:rFonts w:hint="eastAsia" w:ascii="黑体" w:hAnsi="黑体" w:eastAsia="黑体" w:cs="黑体"/>
          <w:color w:val="auto"/>
          <w:sz w:val="52"/>
          <w:szCs w:val="52"/>
          <w:highlight w:val="none"/>
          <w:lang w:eastAsia="zh-CN"/>
        </w:rPr>
      </w:pPr>
      <w:bookmarkStart w:id="0" w:name="_Toc7871"/>
      <w:bookmarkStart w:id="1" w:name="_Toc13157"/>
      <w:bookmarkStart w:id="2" w:name="_Toc1243"/>
      <w:r>
        <w:rPr>
          <w:rFonts w:hint="eastAsia" w:ascii="黑体" w:hAnsi="黑体" w:eastAsia="黑体" w:cs="黑体"/>
          <w:color w:val="auto"/>
          <w:sz w:val="52"/>
          <w:szCs w:val="52"/>
          <w:highlight w:val="none"/>
          <w:lang w:eastAsia="zh-CN"/>
        </w:rPr>
        <w:t>策勒县水</w:t>
      </w:r>
      <w:bookmarkEnd w:id="0"/>
      <w:bookmarkEnd w:id="1"/>
      <w:bookmarkEnd w:id="2"/>
      <w:r>
        <w:rPr>
          <w:rFonts w:hint="eastAsia" w:ascii="黑体" w:hAnsi="黑体" w:eastAsia="黑体" w:cs="黑体"/>
          <w:color w:val="auto"/>
          <w:sz w:val="52"/>
          <w:szCs w:val="52"/>
          <w:highlight w:val="none"/>
          <w:lang w:eastAsia="zh-CN"/>
        </w:rPr>
        <w:t>污染防治规划</w:t>
      </w:r>
    </w:p>
    <w:p>
      <w:pPr>
        <w:pStyle w:val="13"/>
        <w:ind w:left="0" w:leftChars="0" w:firstLine="0" w:firstLineChars="0"/>
        <w:jc w:val="center"/>
        <w:rPr>
          <w:rFonts w:hint="default"/>
          <w:lang w:val="en-US" w:eastAsia="zh-CN"/>
        </w:rPr>
      </w:pPr>
      <w:r>
        <w:rPr>
          <w:rFonts w:hint="eastAsia" w:ascii="黑体" w:hAnsi="黑体" w:eastAsia="黑体" w:cs="黑体"/>
          <w:color w:val="auto"/>
          <w:sz w:val="52"/>
          <w:szCs w:val="52"/>
          <w:lang w:val="en-US" w:eastAsia="zh-CN"/>
        </w:rPr>
        <w:t>(征求意见稿)</w:t>
      </w:r>
    </w:p>
    <w:p>
      <w:pPr>
        <w:bidi w:val="0"/>
        <w:jc w:val="center"/>
        <w:rPr>
          <w:rFonts w:hint="eastAsia" w:ascii="黑体" w:hAnsi="黑体" w:eastAsia="黑体" w:cs="黑体"/>
          <w:color w:val="auto"/>
          <w:sz w:val="52"/>
          <w:szCs w:val="52"/>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jc w:val="center"/>
        <w:rPr>
          <w:rFonts w:hint="eastAsia" w:ascii="宋体" w:hAnsi="宋体" w:eastAsia="宋体" w:cs="宋体"/>
          <w:color w:val="auto"/>
          <w:sz w:val="36"/>
          <w:szCs w:val="36"/>
          <w:highlight w:val="none"/>
          <w:lang w:eastAsia="zh-CN"/>
        </w:rPr>
      </w:pPr>
      <w:r>
        <w:rPr>
          <w:rFonts w:hint="eastAsia" w:ascii="宋体" w:hAnsi="宋体" w:eastAsia="宋体" w:cs="宋体"/>
          <w:color w:val="auto"/>
          <w:sz w:val="36"/>
          <w:szCs w:val="36"/>
          <w:highlight w:val="none"/>
          <w:lang w:eastAsia="zh-CN"/>
        </w:rPr>
        <w:t>和田地区生态环境局策勒县分局</w:t>
      </w:r>
    </w:p>
    <w:p>
      <w:pPr>
        <w:bidi w:val="0"/>
        <w:jc w:val="center"/>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202</w:t>
      </w:r>
      <w:r>
        <w:rPr>
          <w:rFonts w:hint="eastAsia" w:ascii="宋体" w:hAnsi="宋体" w:eastAsia="宋体" w:cs="宋体"/>
          <w:color w:val="auto"/>
          <w:sz w:val="36"/>
          <w:szCs w:val="36"/>
          <w:highlight w:val="none"/>
          <w:lang w:val="en-US" w:eastAsia="zh-CN"/>
        </w:rPr>
        <w:t>3</w:t>
      </w:r>
      <w:r>
        <w:rPr>
          <w:rFonts w:hint="eastAsia" w:ascii="宋体" w:hAnsi="宋体" w:eastAsia="宋体" w:cs="宋体"/>
          <w:color w:val="auto"/>
          <w:sz w:val="36"/>
          <w:szCs w:val="36"/>
          <w:highlight w:val="none"/>
        </w:rPr>
        <w:t>年</w:t>
      </w:r>
      <w:r>
        <w:rPr>
          <w:rFonts w:hint="eastAsia" w:ascii="宋体" w:hAnsi="宋体" w:eastAsia="宋体" w:cs="宋体"/>
          <w:color w:val="auto"/>
          <w:sz w:val="36"/>
          <w:szCs w:val="36"/>
          <w:highlight w:val="none"/>
          <w:lang w:val="en-US" w:eastAsia="zh-CN"/>
        </w:rPr>
        <w:t>12</w:t>
      </w:r>
      <w:r>
        <w:rPr>
          <w:rFonts w:hint="eastAsia" w:ascii="宋体" w:hAnsi="宋体" w:eastAsia="宋体" w:cs="宋体"/>
          <w:color w:val="auto"/>
          <w:sz w:val="36"/>
          <w:szCs w:val="36"/>
          <w:highlight w:val="none"/>
        </w:rPr>
        <w:t>月</w:t>
      </w:r>
    </w:p>
    <w:p>
      <w:pPr>
        <w:pStyle w:val="13"/>
        <w:rPr>
          <w:rFonts w:hint="eastAsia" w:ascii="宋体" w:hAnsi="宋体" w:eastAsia="宋体" w:cs="宋体"/>
          <w:color w:val="auto"/>
          <w:sz w:val="36"/>
          <w:szCs w:val="36"/>
          <w:highlight w:val="none"/>
        </w:rPr>
      </w:pPr>
    </w:p>
    <w:p>
      <w:pPr>
        <w:rPr>
          <w:rFonts w:hint="eastAsia" w:ascii="宋体" w:hAnsi="宋体" w:eastAsia="宋体" w:cs="宋体"/>
          <w:color w:val="auto"/>
          <w:sz w:val="36"/>
          <w:szCs w:val="36"/>
          <w:highlight w:val="none"/>
        </w:rPr>
      </w:pPr>
    </w:p>
    <w:p>
      <w:pPr>
        <w:pStyle w:val="13"/>
        <w:rPr>
          <w:rFonts w:hint="eastAsia"/>
          <w:color w:val="auto"/>
          <w:highlight w:val="none"/>
          <w:lang w:eastAsia="zh-CN"/>
        </w:rPr>
      </w:pPr>
    </w:p>
    <w:p>
      <w:pPr>
        <w:bidi w:val="0"/>
        <w:jc w:val="center"/>
        <w:rPr>
          <w:rFonts w:hint="eastAsia" w:ascii="宋体" w:hAnsi="宋体" w:eastAsia="宋体" w:cs="宋体"/>
          <w:color w:val="auto"/>
          <w:sz w:val="36"/>
          <w:szCs w:val="36"/>
          <w:highlight w:val="none"/>
          <w:lang w:eastAsia="zh-CN"/>
        </w:rPr>
      </w:pPr>
    </w:p>
    <w:p>
      <w:pPr>
        <w:bidi w:val="0"/>
        <w:ind w:left="0" w:leftChars="0" w:firstLine="0" w:firstLineChars="0"/>
        <w:jc w:val="both"/>
        <w:rPr>
          <w:rFonts w:hint="eastAsia" w:ascii="宋体" w:hAnsi="宋体" w:eastAsia="宋体" w:cs="宋体"/>
          <w:color w:val="auto"/>
          <w:sz w:val="36"/>
          <w:szCs w:val="36"/>
          <w:highlight w:val="none"/>
          <w:lang w:eastAsia="zh-CN"/>
        </w:rPr>
      </w:pPr>
    </w:p>
    <w:sdt>
      <w:sdtPr>
        <w:rPr>
          <w:rFonts w:ascii="宋体" w:hAnsi="宋体" w:eastAsia="宋体" w:cstheme="minorBidi"/>
          <w:color w:val="auto"/>
          <w:kern w:val="2"/>
          <w:sz w:val="21"/>
          <w:szCs w:val="22"/>
          <w:highlight w:val="none"/>
          <w:lang w:val="en-US" w:eastAsia="zh-CN" w:bidi="ar-SA"/>
        </w:rPr>
        <w:id w:val="147461148"/>
        <w15:color w:val="DBDBDB"/>
        <w:docPartObj>
          <w:docPartGallery w:val="Table of Contents"/>
          <w:docPartUnique/>
        </w:docPartObj>
      </w:sdtPr>
      <w:sdtEndPr>
        <w:rPr>
          <w:rFonts w:hint="eastAsia" w:eastAsia="华文仿宋" w:asciiTheme="minorAscii" w:hAnsiTheme="minorAscii" w:cstheme="minorBidi"/>
          <w:b/>
          <w:color w:val="auto"/>
          <w:kern w:val="2"/>
          <w:sz w:val="28"/>
          <w:szCs w:val="22"/>
          <w:highlight w:val="none"/>
          <w:lang w:val="en-US" w:eastAsia="zh-CN" w:bidi="ar-SA"/>
        </w:rPr>
      </w:sdtEndPr>
      <w:sdtContent>
        <w:p>
          <w:pPr>
            <w:spacing w:before="0" w:beforeLines="0" w:after="0" w:afterLines="0" w:line="240" w:lineRule="auto"/>
            <w:ind w:left="0" w:leftChars="0" w:right="0" w:rightChars="0" w:firstLine="0" w:firstLineChars="0"/>
            <w:jc w:val="center"/>
            <w:rPr>
              <w:b/>
              <w:bCs/>
              <w:color w:val="auto"/>
              <w:sz w:val="40"/>
              <w:szCs w:val="32"/>
              <w:highlight w:val="none"/>
            </w:rPr>
          </w:pPr>
          <w:r>
            <w:rPr>
              <w:rFonts w:ascii="宋体" w:hAnsi="宋体" w:eastAsia="宋体"/>
              <w:b/>
              <w:bCs/>
              <w:color w:val="auto"/>
              <w:sz w:val="28"/>
              <w:szCs w:val="32"/>
              <w:highlight w:val="none"/>
            </w:rPr>
            <w:t>目</w:t>
          </w:r>
          <w:r>
            <w:rPr>
              <w:rFonts w:hint="eastAsia" w:ascii="宋体" w:hAnsi="宋体" w:eastAsia="宋体"/>
              <w:b/>
              <w:bCs/>
              <w:color w:val="auto"/>
              <w:sz w:val="28"/>
              <w:szCs w:val="32"/>
              <w:highlight w:val="none"/>
              <w:lang w:val="en-US" w:eastAsia="zh-CN"/>
            </w:rPr>
            <w:t xml:space="preserve">    </w:t>
          </w:r>
          <w:r>
            <w:rPr>
              <w:rFonts w:ascii="宋体" w:hAnsi="宋体" w:eastAsia="宋体"/>
              <w:b/>
              <w:bCs/>
              <w:color w:val="auto"/>
              <w:sz w:val="28"/>
              <w:szCs w:val="32"/>
              <w:highlight w:val="none"/>
            </w:rPr>
            <w:t>录</w:t>
          </w:r>
        </w:p>
        <w:p>
          <w:pPr>
            <w:pStyle w:val="19"/>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TOC \o "1-2" \h \u </w:instrText>
          </w:r>
          <w:r>
            <w:rPr>
              <w:rFonts w:hint="eastAsia"/>
              <w:b w:val="0"/>
              <w:bCs w:val="0"/>
              <w:color w:val="auto"/>
              <w:sz w:val="28"/>
              <w:szCs w:val="22"/>
              <w:highlight w:val="none"/>
              <w:lang w:eastAsia="zh-CN"/>
            </w:rPr>
            <w:fldChar w:fldCharType="separate"/>
          </w: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_Toc2687 </w:instrText>
          </w:r>
          <w:r>
            <w:rPr>
              <w:rFonts w:hint="eastAsia"/>
              <w:b w:val="0"/>
              <w:bCs w:val="0"/>
              <w:color w:val="auto"/>
              <w:sz w:val="28"/>
              <w:szCs w:val="22"/>
              <w:highlight w:val="none"/>
              <w:lang w:eastAsia="zh-CN"/>
            </w:rPr>
            <w:fldChar w:fldCharType="separate"/>
          </w:r>
          <w:r>
            <w:rPr>
              <w:rFonts w:hint="eastAsia" w:ascii="仿宋_GB2312" w:hAnsi="仿宋_GB2312" w:eastAsia="仿宋_GB2312" w:cs="仿宋_GB2312"/>
              <w:b w:val="0"/>
              <w:bCs w:val="0"/>
              <w:color w:val="auto"/>
              <w:sz w:val="28"/>
              <w:szCs w:val="32"/>
              <w:highlight w:val="none"/>
              <w:lang w:eastAsia="zh-CN"/>
            </w:rPr>
            <w:t>前</w:t>
          </w:r>
          <w:r>
            <w:rPr>
              <w:rFonts w:hint="eastAsia" w:ascii="仿宋_GB2312" w:hAnsi="仿宋_GB2312" w:eastAsia="仿宋_GB2312" w:cs="仿宋_GB2312"/>
              <w:b w:val="0"/>
              <w:bCs w:val="0"/>
              <w:color w:val="auto"/>
              <w:sz w:val="28"/>
              <w:szCs w:val="32"/>
              <w:highlight w:val="none"/>
              <w:lang w:val="en-US" w:eastAsia="zh-CN"/>
            </w:rPr>
            <w:t xml:space="preserve"> </w:t>
          </w:r>
          <w:r>
            <w:rPr>
              <w:rFonts w:hint="eastAsia" w:ascii="仿宋_GB2312" w:hAnsi="仿宋_GB2312" w:eastAsia="仿宋_GB2312" w:cs="仿宋_GB2312"/>
              <w:b w:val="0"/>
              <w:bCs w:val="0"/>
              <w:color w:val="auto"/>
              <w:sz w:val="28"/>
              <w:szCs w:val="32"/>
              <w:highlight w:val="none"/>
              <w:lang w:eastAsia="zh-CN"/>
            </w:rPr>
            <w:t>言</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_Toc2687 \h </w:instrText>
          </w:r>
          <w:r>
            <w:rPr>
              <w:b w:val="0"/>
              <w:bCs w:val="0"/>
              <w:color w:val="auto"/>
              <w:sz w:val="28"/>
              <w:szCs w:val="22"/>
              <w:highlight w:val="none"/>
            </w:rPr>
            <w:fldChar w:fldCharType="separate"/>
          </w:r>
          <w:r>
            <w:rPr>
              <w:b w:val="0"/>
              <w:bCs w:val="0"/>
              <w:color w:val="auto"/>
              <w:sz w:val="28"/>
              <w:szCs w:val="22"/>
              <w:highlight w:val="none"/>
            </w:rPr>
            <w:t>I</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19"/>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_Toc12434 </w:instrText>
          </w:r>
          <w:r>
            <w:rPr>
              <w:rFonts w:hint="eastAsia"/>
              <w:b w:val="0"/>
              <w:bCs w:val="0"/>
              <w:color w:val="auto"/>
              <w:sz w:val="28"/>
              <w:szCs w:val="22"/>
              <w:highlight w:val="none"/>
              <w:lang w:eastAsia="zh-CN"/>
            </w:rPr>
            <w:fldChar w:fldCharType="separate"/>
          </w:r>
          <w:r>
            <w:rPr>
              <w:rFonts w:hint="eastAsia" w:ascii="黑体" w:hAnsi="黑体" w:eastAsia="黑体" w:cs="黑体"/>
              <w:b w:val="0"/>
              <w:bCs w:val="0"/>
              <w:snapToGrid w:val="0"/>
              <w:color w:val="auto"/>
              <w:spacing w:val="12"/>
              <w:kern w:val="0"/>
              <w:position w:val="4"/>
              <w:sz w:val="28"/>
              <w:szCs w:val="32"/>
              <w:highlight w:val="none"/>
              <w:lang w:eastAsia="zh-CN"/>
              <w14:textOutline w14:w="5793" w14:cap="sq" w14:cmpd="sng">
                <w14:solidFill>
                  <w14:srgbClr w14:val="000000"/>
                </w14:solidFill>
                <w14:prstDash w14:val="solid"/>
                <w14:bevel/>
              </w14:textOutline>
            </w:rPr>
            <w:t>一、水生态环境保护基本形势</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_Toc12434 \h </w:instrText>
          </w:r>
          <w:r>
            <w:rPr>
              <w:b w:val="0"/>
              <w:bCs w:val="0"/>
              <w:color w:val="auto"/>
              <w:sz w:val="28"/>
              <w:szCs w:val="22"/>
              <w:highlight w:val="none"/>
            </w:rPr>
            <w:fldChar w:fldCharType="separate"/>
          </w:r>
          <w:r>
            <w:rPr>
              <w:b w:val="0"/>
              <w:bCs w:val="0"/>
              <w:color w:val="auto"/>
              <w:sz w:val="28"/>
              <w:szCs w:val="22"/>
              <w:highlight w:val="none"/>
            </w:rPr>
            <w:t>2</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_Toc22415 </w:instrText>
          </w:r>
          <w:r>
            <w:rPr>
              <w:rFonts w:hint="eastAsia"/>
              <w:b w:val="0"/>
              <w:bCs w:val="0"/>
              <w:color w:val="auto"/>
              <w:sz w:val="28"/>
              <w:szCs w:val="22"/>
              <w:highlight w:val="none"/>
              <w:lang w:eastAsia="zh-CN"/>
            </w:rPr>
            <w:fldChar w:fldCharType="separate"/>
          </w:r>
          <w:r>
            <w:rPr>
              <w:rFonts w:hint="eastAsia" w:ascii="楷体" w:hAnsi="楷体" w:eastAsia="楷体" w:cs="楷体"/>
              <w:b w:val="0"/>
              <w:bCs w:val="0"/>
              <w:snapToGrid w:val="0"/>
              <w:color w:val="auto"/>
              <w:spacing w:val="25"/>
              <w:kern w:val="0"/>
              <w:sz w:val="28"/>
              <w:szCs w:val="32"/>
              <w:highlight w:val="none"/>
              <w:lang w:eastAsia="zh-CN"/>
              <w14:textOutline w14:w="5793" w14:cap="sq" w14:cmpd="sng">
                <w14:solidFill>
                  <w14:srgbClr w14:val="000000"/>
                </w14:solidFill>
                <w14:prstDash w14:val="solid"/>
                <w14:bevel/>
              </w14:textOutline>
            </w:rPr>
            <w:t>（一）区域概况</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_Toc22415 \h </w:instrText>
          </w:r>
          <w:r>
            <w:rPr>
              <w:b w:val="0"/>
              <w:bCs w:val="0"/>
              <w:color w:val="auto"/>
              <w:sz w:val="28"/>
              <w:szCs w:val="22"/>
              <w:highlight w:val="none"/>
            </w:rPr>
            <w:fldChar w:fldCharType="separate"/>
          </w:r>
          <w:r>
            <w:rPr>
              <w:b w:val="0"/>
              <w:bCs w:val="0"/>
              <w:color w:val="auto"/>
              <w:sz w:val="28"/>
              <w:szCs w:val="22"/>
              <w:highlight w:val="none"/>
            </w:rPr>
            <w:t>2</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_Toc22376 </w:instrText>
          </w:r>
          <w:r>
            <w:rPr>
              <w:rFonts w:hint="eastAsia"/>
              <w:b w:val="0"/>
              <w:bCs w:val="0"/>
              <w:color w:val="auto"/>
              <w:sz w:val="28"/>
              <w:szCs w:val="22"/>
              <w:highlight w:val="none"/>
              <w:lang w:eastAsia="zh-CN"/>
            </w:rPr>
            <w:fldChar w:fldCharType="separate"/>
          </w:r>
          <w:r>
            <w:rPr>
              <w:rFonts w:hint="eastAsia" w:ascii="楷体" w:hAnsi="楷体" w:eastAsia="楷体" w:cs="楷体"/>
              <w:b w:val="0"/>
              <w:bCs w:val="0"/>
              <w:snapToGrid w:val="0"/>
              <w:color w:val="auto"/>
              <w:spacing w:val="25"/>
              <w:kern w:val="0"/>
              <w:sz w:val="28"/>
              <w:szCs w:val="32"/>
              <w:highlight w:val="none"/>
              <w:lang w:eastAsia="zh-CN"/>
              <w14:textOutline w14:w="5793" w14:cap="sq" w14:cmpd="sng">
                <w14:solidFill>
                  <w14:srgbClr w14:val="000000"/>
                </w14:solidFill>
                <w14:prstDash w14:val="solid"/>
                <w14:bevel/>
              </w14:textOutline>
            </w:rPr>
            <w:t>（二）水生态环境状况</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_Toc22376 \h </w:instrText>
          </w:r>
          <w:r>
            <w:rPr>
              <w:b w:val="0"/>
              <w:bCs w:val="0"/>
              <w:color w:val="auto"/>
              <w:sz w:val="28"/>
              <w:szCs w:val="22"/>
              <w:highlight w:val="none"/>
            </w:rPr>
            <w:fldChar w:fldCharType="separate"/>
          </w:r>
          <w:r>
            <w:rPr>
              <w:b w:val="0"/>
              <w:bCs w:val="0"/>
              <w:color w:val="auto"/>
              <w:sz w:val="28"/>
              <w:szCs w:val="22"/>
              <w:highlight w:val="none"/>
            </w:rPr>
            <w:t>8</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_Toc30751 </w:instrText>
          </w:r>
          <w:r>
            <w:rPr>
              <w:rFonts w:hint="eastAsia"/>
              <w:b w:val="0"/>
              <w:bCs w:val="0"/>
              <w:color w:val="auto"/>
              <w:sz w:val="28"/>
              <w:szCs w:val="22"/>
              <w:highlight w:val="none"/>
              <w:lang w:eastAsia="zh-CN"/>
            </w:rPr>
            <w:fldChar w:fldCharType="separate"/>
          </w:r>
          <w:r>
            <w:rPr>
              <w:rFonts w:hint="eastAsia" w:ascii="楷体" w:hAnsi="楷体" w:eastAsia="楷体" w:cs="楷体"/>
              <w:b w:val="0"/>
              <w:bCs w:val="0"/>
              <w:snapToGrid w:val="0"/>
              <w:color w:val="auto"/>
              <w:spacing w:val="25"/>
              <w:kern w:val="0"/>
              <w:sz w:val="28"/>
              <w:szCs w:val="28"/>
              <w:highlight w:val="none"/>
              <w:lang w:eastAsia="zh-CN"/>
              <w14:textOutline w14:w="5793" w14:cap="sq" w14:cmpd="sng">
                <w14:solidFill>
                  <w14:srgbClr w14:val="000000"/>
                </w14:solidFill>
                <w14:prstDash w14:val="solid"/>
                <w14:bevel/>
              </w14:textOutline>
            </w:rPr>
            <w:t xml:space="preserve">（三） </w:t>
          </w:r>
          <w:r>
            <w:rPr>
              <w:rFonts w:hint="eastAsia" w:ascii="楷体" w:hAnsi="楷体" w:eastAsia="楷体" w:cs="楷体"/>
              <w:b w:val="0"/>
              <w:bCs w:val="0"/>
              <w:snapToGrid w:val="0"/>
              <w:color w:val="auto"/>
              <w:spacing w:val="25"/>
              <w:kern w:val="0"/>
              <w:sz w:val="28"/>
              <w:szCs w:val="28"/>
              <w:highlight w:val="none"/>
              <w:lang w:val="zh-CN" w:eastAsia="zh-CN"/>
              <w14:textOutline w14:w="5793" w14:cap="sq" w14:cmpd="sng">
                <w14:solidFill>
                  <w14:srgbClr w14:val="000000"/>
                </w14:solidFill>
                <w14:prstDash w14:val="solid"/>
                <w14:bevel/>
              </w14:textOutline>
            </w:rPr>
            <w:t>“十</w:t>
          </w:r>
          <w:r>
            <w:rPr>
              <w:rFonts w:hint="eastAsia" w:ascii="楷体" w:hAnsi="楷体" w:eastAsia="楷体" w:cs="楷体"/>
              <w:b w:val="0"/>
              <w:bCs w:val="0"/>
              <w:snapToGrid w:val="0"/>
              <w:color w:val="auto"/>
              <w:spacing w:val="25"/>
              <w:kern w:val="0"/>
              <w:sz w:val="28"/>
              <w:szCs w:val="28"/>
              <w:highlight w:val="none"/>
              <w:lang w:eastAsia="zh-CN"/>
              <w14:textOutline w14:w="5793" w14:cap="sq" w14:cmpd="sng">
                <w14:solidFill>
                  <w14:srgbClr w14:val="000000"/>
                </w14:solidFill>
                <w14:prstDash w14:val="solid"/>
                <w14:bevel/>
              </w14:textOutline>
            </w:rPr>
            <w:t>三五”水生态环境保护实施成效与经验</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_Toc30751 \h </w:instrText>
          </w:r>
          <w:r>
            <w:rPr>
              <w:b w:val="0"/>
              <w:bCs w:val="0"/>
              <w:color w:val="auto"/>
              <w:sz w:val="28"/>
              <w:szCs w:val="22"/>
              <w:highlight w:val="none"/>
            </w:rPr>
            <w:fldChar w:fldCharType="separate"/>
          </w:r>
          <w:r>
            <w:rPr>
              <w:b w:val="0"/>
              <w:bCs w:val="0"/>
              <w:color w:val="auto"/>
              <w:sz w:val="28"/>
              <w:szCs w:val="22"/>
              <w:highlight w:val="none"/>
            </w:rPr>
            <w:t>18</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_Toc31016 </w:instrText>
          </w:r>
          <w:r>
            <w:rPr>
              <w:rFonts w:hint="eastAsia"/>
              <w:b w:val="0"/>
              <w:bCs w:val="0"/>
              <w:color w:val="auto"/>
              <w:sz w:val="28"/>
              <w:szCs w:val="22"/>
              <w:highlight w:val="none"/>
              <w:lang w:eastAsia="zh-CN"/>
            </w:rPr>
            <w:fldChar w:fldCharType="separate"/>
          </w:r>
          <w:r>
            <w:rPr>
              <w:rFonts w:hint="eastAsia" w:ascii="楷体" w:hAnsi="楷体" w:eastAsia="楷体" w:cs="楷体"/>
              <w:b w:val="0"/>
              <w:bCs w:val="0"/>
              <w:snapToGrid w:val="0"/>
              <w:color w:val="auto"/>
              <w:spacing w:val="25"/>
              <w:kern w:val="0"/>
              <w:sz w:val="28"/>
              <w:szCs w:val="28"/>
              <w:highlight w:val="none"/>
              <w:lang w:eastAsia="zh-CN"/>
              <w14:textOutline w14:w="5793" w14:cap="sq" w14:cmpd="sng">
                <w14:solidFill>
                  <w14:srgbClr w14:val="000000"/>
                </w14:solidFill>
                <w14:prstDash w14:val="solid"/>
                <w14:bevel/>
              </w14:textOutline>
            </w:rPr>
            <w:t>（四） 目前存在的主要问题</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_Toc31016 \h </w:instrText>
          </w:r>
          <w:r>
            <w:rPr>
              <w:b w:val="0"/>
              <w:bCs w:val="0"/>
              <w:color w:val="auto"/>
              <w:sz w:val="28"/>
              <w:szCs w:val="22"/>
              <w:highlight w:val="none"/>
            </w:rPr>
            <w:fldChar w:fldCharType="separate"/>
          </w:r>
          <w:r>
            <w:rPr>
              <w:b w:val="0"/>
              <w:bCs w:val="0"/>
              <w:color w:val="auto"/>
              <w:sz w:val="28"/>
              <w:szCs w:val="22"/>
              <w:highlight w:val="none"/>
            </w:rPr>
            <w:t>21</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19"/>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_Toc16560 </w:instrText>
          </w:r>
          <w:r>
            <w:rPr>
              <w:rFonts w:hint="eastAsia"/>
              <w:b w:val="0"/>
              <w:bCs w:val="0"/>
              <w:color w:val="auto"/>
              <w:sz w:val="28"/>
              <w:szCs w:val="22"/>
              <w:highlight w:val="none"/>
              <w:lang w:eastAsia="zh-CN"/>
            </w:rPr>
            <w:fldChar w:fldCharType="separate"/>
          </w:r>
          <w:r>
            <w:rPr>
              <w:rFonts w:hint="eastAsia" w:ascii="黑体" w:hAnsi="黑体" w:eastAsia="黑体" w:cs="黑体"/>
              <w:b w:val="0"/>
              <w:bCs w:val="0"/>
              <w:color w:val="auto"/>
              <w:sz w:val="28"/>
              <w:szCs w:val="28"/>
              <w:highlight w:val="none"/>
            </w:rPr>
            <w:t>二、总体要求</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_Toc16560 \h </w:instrText>
          </w:r>
          <w:r>
            <w:rPr>
              <w:b w:val="0"/>
              <w:bCs w:val="0"/>
              <w:color w:val="auto"/>
              <w:sz w:val="28"/>
              <w:szCs w:val="22"/>
              <w:highlight w:val="none"/>
            </w:rPr>
            <w:fldChar w:fldCharType="separate"/>
          </w:r>
          <w:r>
            <w:rPr>
              <w:b w:val="0"/>
              <w:bCs w:val="0"/>
              <w:color w:val="auto"/>
              <w:sz w:val="28"/>
              <w:szCs w:val="22"/>
              <w:highlight w:val="none"/>
            </w:rPr>
            <w:t>25</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_Toc28065 </w:instrText>
          </w:r>
          <w:r>
            <w:rPr>
              <w:rFonts w:hint="eastAsia"/>
              <w:b w:val="0"/>
              <w:bCs w:val="0"/>
              <w:color w:val="auto"/>
              <w:sz w:val="28"/>
              <w:szCs w:val="22"/>
              <w:highlight w:val="none"/>
              <w:lang w:eastAsia="zh-CN"/>
            </w:rPr>
            <w:fldChar w:fldCharType="separate"/>
          </w:r>
          <w:r>
            <w:rPr>
              <w:rFonts w:ascii="楷体" w:hAnsi="楷体" w:eastAsia="楷体" w:cs="楷体"/>
              <w:b w:val="0"/>
              <w:bCs w:val="0"/>
              <w:color w:val="auto"/>
              <w:spacing w:val="25"/>
              <w:sz w:val="28"/>
              <w:szCs w:val="28"/>
              <w:highlight w:val="none"/>
              <w14:textOutline w14:w="5793" w14:cap="sq" w14:cmpd="sng">
                <w14:solidFill>
                  <w14:srgbClr w14:val="000000"/>
                </w14:solidFill>
                <w14:prstDash w14:val="solid"/>
                <w14:bevel/>
              </w14:textOutline>
            </w:rPr>
            <w:t>(</w:t>
          </w:r>
          <w:r>
            <w:rPr>
              <w:rFonts w:ascii="楷体" w:hAnsi="楷体" w:eastAsia="楷体" w:cs="楷体"/>
              <w:b w:val="0"/>
              <w:bCs w:val="0"/>
              <w:color w:val="auto"/>
              <w:spacing w:val="24"/>
              <w:sz w:val="28"/>
              <w:szCs w:val="28"/>
              <w:highlight w:val="none"/>
              <w14:textOutline w14:w="5793" w14:cap="sq" w14:cmpd="sng">
                <w14:solidFill>
                  <w14:srgbClr w14:val="000000"/>
                </w14:solidFill>
                <w14:prstDash w14:val="solid"/>
                <w14:bevel/>
              </w14:textOutline>
            </w:rPr>
            <w:t>一)指导思想</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_Toc28065 \h </w:instrText>
          </w:r>
          <w:r>
            <w:rPr>
              <w:b w:val="0"/>
              <w:bCs w:val="0"/>
              <w:color w:val="auto"/>
              <w:sz w:val="28"/>
              <w:szCs w:val="22"/>
              <w:highlight w:val="none"/>
            </w:rPr>
            <w:fldChar w:fldCharType="separate"/>
          </w:r>
          <w:r>
            <w:rPr>
              <w:b w:val="0"/>
              <w:bCs w:val="0"/>
              <w:color w:val="auto"/>
              <w:sz w:val="28"/>
              <w:szCs w:val="22"/>
              <w:highlight w:val="none"/>
            </w:rPr>
            <w:t>25</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_Toc29152 </w:instrText>
          </w:r>
          <w:r>
            <w:rPr>
              <w:rFonts w:hint="eastAsia"/>
              <w:b w:val="0"/>
              <w:bCs w:val="0"/>
              <w:color w:val="auto"/>
              <w:sz w:val="28"/>
              <w:szCs w:val="22"/>
              <w:highlight w:val="none"/>
              <w:lang w:eastAsia="zh-CN"/>
            </w:rPr>
            <w:fldChar w:fldCharType="separate"/>
          </w:r>
          <w:r>
            <w:rPr>
              <w:rFonts w:ascii="楷体" w:hAnsi="楷体" w:eastAsia="楷体" w:cs="楷体"/>
              <w:b w:val="0"/>
              <w:bCs w:val="0"/>
              <w:color w:val="auto"/>
              <w:spacing w:val="25"/>
              <w:sz w:val="28"/>
              <w:szCs w:val="28"/>
              <w:highlight w:val="none"/>
              <w14:textOutline w14:w="5793" w14:cap="sq" w14:cmpd="sng">
                <w14:solidFill>
                  <w14:srgbClr w14:val="000000"/>
                </w14:solidFill>
                <w14:prstDash w14:val="solid"/>
                <w14:bevel/>
              </w14:textOutline>
            </w:rPr>
            <w:t>(</w:t>
          </w:r>
          <w:r>
            <w:rPr>
              <w:rFonts w:ascii="楷体" w:hAnsi="楷体" w:eastAsia="楷体" w:cs="楷体"/>
              <w:b w:val="0"/>
              <w:bCs w:val="0"/>
              <w:color w:val="auto"/>
              <w:spacing w:val="24"/>
              <w:sz w:val="28"/>
              <w:szCs w:val="28"/>
              <w:highlight w:val="none"/>
              <w14:textOutline w14:w="5793" w14:cap="sq" w14:cmpd="sng">
                <w14:solidFill>
                  <w14:srgbClr w14:val="000000"/>
                </w14:solidFill>
                <w14:prstDash w14:val="solid"/>
                <w14:bevel/>
              </w14:textOutline>
            </w:rPr>
            <w:t>二)基本原则</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_Toc29152 \h </w:instrText>
          </w:r>
          <w:r>
            <w:rPr>
              <w:b w:val="0"/>
              <w:bCs w:val="0"/>
              <w:color w:val="auto"/>
              <w:sz w:val="28"/>
              <w:szCs w:val="22"/>
              <w:highlight w:val="none"/>
            </w:rPr>
            <w:fldChar w:fldCharType="separate"/>
          </w:r>
          <w:r>
            <w:rPr>
              <w:b w:val="0"/>
              <w:bCs w:val="0"/>
              <w:color w:val="auto"/>
              <w:sz w:val="28"/>
              <w:szCs w:val="22"/>
              <w:highlight w:val="none"/>
            </w:rPr>
            <w:t>26</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_Toc17114 </w:instrText>
          </w:r>
          <w:r>
            <w:rPr>
              <w:rFonts w:hint="eastAsia"/>
              <w:b w:val="0"/>
              <w:bCs w:val="0"/>
              <w:color w:val="auto"/>
              <w:sz w:val="28"/>
              <w:szCs w:val="22"/>
              <w:highlight w:val="none"/>
              <w:lang w:eastAsia="zh-CN"/>
            </w:rPr>
            <w:fldChar w:fldCharType="separate"/>
          </w:r>
          <w:r>
            <w:rPr>
              <w:rFonts w:ascii="楷体" w:hAnsi="楷体" w:eastAsia="楷体" w:cs="楷体"/>
              <w:b w:val="0"/>
              <w:bCs w:val="0"/>
              <w:color w:val="auto"/>
              <w:spacing w:val="24"/>
              <w:sz w:val="28"/>
              <w:szCs w:val="28"/>
              <w:highlight w:val="none"/>
              <w14:textOutline w14:w="5793" w14:cap="sq" w14:cmpd="sng">
                <w14:solidFill>
                  <w14:srgbClr w14:val="000000"/>
                </w14:solidFill>
                <w14:prstDash w14:val="solid"/>
                <w14:bevel/>
              </w14:textOutline>
            </w:rPr>
            <w:t>(三)编制依</w:t>
          </w:r>
          <w:r>
            <w:rPr>
              <w:rFonts w:ascii="楷体" w:hAnsi="楷体" w:eastAsia="楷体" w:cs="楷体"/>
              <w:b w:val="0"/>
              <w:bCs w:val="0"/>
              <w:color w:val="auto"/>
              <w:spacing w:val="22"/>
              <w:sz w:val="28"/>
              <w:szCs w:val="28"/>
              <w:highlight w:val="none"/>
              <w14:textOutline w14:w="5793" w14:cap="sq" w14:cmpd="sng">
                <w14:solidFill>
                  <w14:srgbClr w14:val="000000"/>
                </w14:solidFill>
                <w14:prstDash w14:val="solid"/>
                <w14:bevel/>
              </w14:textOutline>
            </w:rPr>
            <w:t>据</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_Toc17114 \h </w:instrText>
          </w:r>
          <w:r>
            <w:rPr>
              <w:b w:val="0"/>
              <w:bCs w:val="0"/>
              <w:color w:val="auto"/>
              <w:sz w:val="28"/>
              <w:szCs w:val="22"/>
              <w:highlight w:val="none"/>
            </w:rPr>
            <w:fldChar w:fldCharType="separate"/>
          </w:r>
          <w:r>
            <w:rPr>
              <w:b w:val="0"/>
              <w:bCs w:val="0"/>
              <w:color w:val="auto"/>
              <w:sz w:val="28"/>
              <w:szCs w:val="22"/>
              <w:highlight w:val="none"/>
            </w:rPr>
            <w:t>26</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_Toc31223 </w:instrText>
          </w:r>
          <w:r>
            <w:rPr>
              <w:rFonts w:hint="eastAsia"/>
              <w:b w:val="0"/>
              <w:bCs w:val="0"/>
              <w:color w:val="auto"/>
              <w:sz w:val="28"/>
              <w:szCs w:val="22"/>
              <w:highlight w:val="none"/>
              <w:lang w:eastAsia="zh-CN"/>
            </w:rPr>
            <w:fldChar w:fldCharType="separate"/>
          </w:r>
          <w:r>
            <w:rPr>
              <w:rFonts w:ascii="楷体" w:hAnsi="楷体" w:eastAsia="楷体" w:cs="楷体"/>
              <w:b w:val="0"/>
              <w:bCs w:val="0"/>
              <w:color w:val="auto"/>
              <w:spacing w:val="25"/>
              <w:sz w:val="28"/>
              <w:szCs w:val="32"/>
              <w:highlight w:val="none"/>
              <w14:textOutline w14:w="5793" w14:cap="sq" w14:cmpd="sng">
                <w14:solidFill>
                  <w14:srgbClr w14:val="000000"/>
                </w14:solidFill>
                <w14:prstDash w14:val="solid"/>
                <w14:bevel/>
              </w14:textOutline>
            </w:rPr>
            <w:t>(</w:t>
          </w:r>
          <w:r>
            <w:rPr>
              <w:rFonts w:ascii="楷体" w:hAnsi="楷体" w:eastAsia="楷体" w:cs="楷体"/>
              <w:b w:val="0"/>
              <w:bCs w:val="0"/>
              <w:color w:val="auto"/>
              <w:spacing w:val="20"/>
              <w:sz w:val="28"/>
              <w:szCs w:val="32"/>
              <w:highlight w:val="none"/>
              <w14:textOutline w14:w="5793" w14:cap="sq" w14:cmpd="sng">
                <w14:solidFill>
                  <w14:srgbClr w14:val="000000"/>
                </w14:solidFill>
                <w14:prstDash w14:val="solid"/>
                <w14:bevel/>
              </w14:textOutline>
            </w:rPr>
            <w:t>四)规划范围与时限</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_Toc31223 \h </w:instrText>
          </w:r>
          <w:r>
            <w:rPr>
              <w:b w:val="0"/>
              <w:bCs w:val="0"/>
              <w:color w:val="auto"/>
              <w:sz w:val="28"/>
              <w:szCs w:val="22"/>
              <w:highlight w:val="none"/>
            </w:rPr>
            <w:fldChar w:fldCharType="separate"/>
          </w:r>
          <w:r>
            <w:rPr>
              <w:b w:val="0"/>
              <w:bCs w:val="0"/>
              <w:color w:val="auto"/>
              <w:sz w:val="28"/>
              <w:szCs w:val="22"/>
              <w:highlight w:val="none"/>
            </w:rPr>
            <w:t>28</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_Toc19695 </w:instrText>
          </w:r>
          <w:r>
            <w:rPr>
              <w:rFonts w:hint="eastAsia"/>
              <w:b w:val="0"/>
              <w:bCs w:val="0"/>
              <w:color w:val="auto"/>
              <w:sz w:val="28"/>
              <w:szCs w:val="22"/>
              <w:highlight w:val="none"/>
              <w:lang w:eastAsia="zh-CN"/>
            </w:rPr>
            <w:fldChar w:fldCharType="separate"/>
          </w:r>
          <w:r>
            <w:rPr>
              <w:rFonts w:ascii="楷体" w:hAnsi="楷体" w:eastAsia="楷体" w:cs="楷体"/>
              <w:b w:val="0"/>
              <w:bCs w:val="0"/>
              <w:color w:val="auto"/>
              <w:spacing w:val="25"/>
              <w:sz w:val="28"/>
              <w:szCs w:val="32"/>
              <w:highlight w:val="none"/>
              <w14:textOutline w14:w="5793" w14:cap="sq" w14:cmpd="sng">
                <w14:solidFill>
                  <w14:srgbClr w14:val="000000"/>
                </w14:solidFill>
                <w14:prstDash w14:val="solid"/>
                <w14:bevel/>
              </w14:textOutline>
            </w:rPr>
            <w:t>(</w:t>
          </w:r>
          <w:r>
            <w:rPr>
              <w:rFonts w:ascii="楷体" w:hAnsi="楷体" w:eastAsia="楷体" w:cs="楷体"/>
              <w:b w:val="0"/>
              <w:bCs w:val="0"/>
              <w:color w:val="auto"/>
              <w:spacing w:val="24"/>
              <w:sz w:val="28"/>
              <w:szCs w:val="32"/>
              <w:highlight w:val="none"/>
              <w14:textOutline w14:w="5793" w14:cap="sq" w14:cmpd="sng">
                <w14:solidFill>
                  <w14:srgbClr w14:val="000000"/>
                </w14:solidFill>
                <w14:prstDash w14:val="solid"/>
                <w14:bevel/>
              </w14:textOutline>
            </w:rPr>
            <w:t>五)规划目标</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_Toc19695 \h </w:instrText>
          </w:r>
          <w:r>
            <w:rPr>
              <w:b w:val="0"/>
              <w:bCs w:val="0"/>
              <w:color w:val="auto"/>
              <w:sz w:val="28"/>
              <w:szCs w:val="22"/>
              <w:highlight w:val="none"/>
            </w:rPr>
            <w:fldChar w:fldCharType="separate"/>
          </w:r>
          <w:r>
            <w:rPr>
              <w:b w:val="0"/>
              <w:bCs w:val="0"/>
              <w:color w:val="auto"/>
              <w:sz w:val="28"/>
              <w:szCs w:val="22"/>
              <w:highlight w:val="none"/>
            </w:rPr>
            <w:t>28</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19"/>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_Toc18377 </w:instrText>
          </w:r>
          <w:r>
            <w:rPr>
              <w:rFonts w:hint="eastAsia"/>
              <w:b w:val="0"/>
              <w:bCs w:val="0"/>
              <w:color w:val="auto"/>
              <w:sz w:val="28"/>
              <w:szCs w:val="22"/>
              <w:highlight w:val="none"/>
              <w:lang w:eastAsia="zh-CN"/>
            </w:rPr>
            <w:fldChar w:fldCharType="separate"/>
          </w:r>
          <w:r>
            <w:rPr>
              <w:rFonts w:hint="eastAsia" w:ascii="黑体" w:hAnsi="黑体" w:eastAsia="黑体" w:cs="黑体"/>
              <w:b w:val="0"/>
              <w:bCs w:val="0"/>
              <w:color w:val="auto"/>
              <w:sz w:val="28"/>
              <w:szCs w:val="28"/>
              <w:highlight w:val="none"/>
              <w:lang w:val="en-US" w:eastAsia="zh-CN"/>
            </w:rPr>
            <w:t>三、规划任务</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_Toc18377 \h </w:instrText>
          </w:r>
          <w:r>
            <w:rPr>
              <w:b w:val="0"/>
              <w:bCs w:val="0"/>
              <w:color w:val="auto"/>
              <w:sz w:val="28"/>
              <w:szCs w:val="22"/>
              <w:highlight w:val="none"/>
            </w:rPr>
            <w:fldChar w:fldCharType="separate"/>
          </w:r>
          <w:r>
            <w:rPr>
              <w:b w:val="0"/>
              <w:bCs w:val="0"/>
              <w:color w:val="auto"/>
              <w:sz w:val="28"/>
              <w:szCs w:val="22"/>
              <w:highlight w:val="none"/>
            </w:rPr>
            <w:t>29</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_Toc9704 </w:instrText>
          </w:r>
          <w:r>
            <w:rPr>
              <w:rFonts w:hint="eastAsia"/>
              <w:b w:val="0"/>
              <w:bCs w:val="0"/>
              <w:color w:val="auto"/>
              <w:sz w:val="28"/>
              <w:szCs w:val="22"/>
              <w:highlight w:val="none"/>
              <w:lang w:eastAsia="zh-CN"/>
            </w:rPr>
            <w:fldChar w:fldCharType="separate"/>
          </w:r>
          <w:r>
            <w:rPr>
              <w:rFonts w:hint="eastAsia"/>
              <w:b w:val="0"/>
              <w:bCs w:val="0"/>
              <w:color w:val="auto"/>
              <w:sz w:val="28"/>
              <w:szCs w:val="22"/>
              <w:highlight w:val="none"/>
              <w:lang w:val="en-US" w:eastAsia="zh-CN"/>
            </w:rPr>
            <w:t>（一）提升生态系统功能，提高人民群众幸福感</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_Toc9704 \h </w:instrText>
          </w:r>
          <w:r>
            <w:rPr>
              <w:b w:val="0"/>
              <w:bCs w:val="0"/>
              <w:color w:val="auto"/>
              <w:sz w:val="28"/>
              <w:szCs w:val="22"/>
              <w:highlight w:val="none"/>
            </w:rPr>
            <w:fldChar w:fldCharType="separate"/>
          </w:r>
          <w:r>
            <w:rPr>
              <w:b w:val="0"/>
              <w:bCs w:val="0"/>
              <w:color w:val="auto"/>
              <w:sz w:val="28"/>
              <w:szCs w:val="22"/>
              <w:highlight w:val="none"/>
            </w:rPr>
            <w:t>29</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_Toc25018 </w:instrText>
          </w:r>
          <w:r>
            <w:rPr>
              <w:rFonts w:hint="eastAsia"/>
              <w:b w:val="0"/>
              <w:bCs w:val="0"/>
              <w:color w:val="auto"/>
              <w:sz w:val="28"/>
              <w:szCs w:val="22"/>
              <w:highlight w:val="none"/>
              <w:lang w:eastAsia="zh-CN"/>
            </w:rPr>
            <w:fldChar w:fldCharType="separate"/>
          </w:r>
          <w:r>
            <w:rPr>
              <w:rFonts w:hint="eastAsia"/>
              <w:b w:val="0"/>
              <w:bCs w:val="0"/>
              <w:color w:val="auto"/>
              <w:sz w:val="28"/>
              <w:szCs w:val="22"/>
              <w:highlight w:val="none"/>
              <w:lang w:val="en-US" w:eastAsia="zh-CN"/>
            </w:rPr>
            <w:t>（二）巩固流域治理成效，筑牢水环境质量底线</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_Toc25018 \h </w:instrText>
          </w:r>
          <w:r>
            <w:rPr>
              <w:b w:val="0"/>
              <w:bCs w:val="0"/>
              <w:color w:val="auto"/>
              <w:sz w:val="28"/>
              <w:szCs w:val="22"/>
              <w:highlight w:val="none"/>
            </w:rPr>
            <w:fldChar w:fldCharType="separate"/>
          </w:r>
          <w:r>
            <w:rPr>
              <w:b w:val="0"/>
              <w:bCs w:val="0"/>
              <w:color w:val="auto"/>
              <w:sz w:val="28"/>
              <w:szCs w:val="22"/>
              <w:highlight w:val="none"/>
            </w:rPr>
            <w:t>31</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_Toc9509 </w:instrText>
          </w:r>
          <w:r>
            <w:rPr>
              <w:rFonts w:hint="eastAsia"/>
              <w:b w:val="0"/>
              <w:bCs w:val="0"/>
              <w:color w:val="auto"/>
              <w:sz w:val="28"/>
              <w:szCs w:val="22"/>
              <w:highlight w:val="none"/>
              <w:lang w:eastAsia="zh-CN"/>
            </w:rPr>
            <w:fldChar w:fldCharType="separate"/>
          </w:r>
          <w:r>
            <w:rPr>
              <w:rFonts w:hint="eastAsia"/>
              <w:b w:val="0"/>
              <w:bCs w:val="0"/>
              <w:color w:val="auto"/>
              <w:sz w:val="28"/>
              <w:szCs w:val="22"/>
              <w:highlight w:val="none"/>
              <w:lang w:val="en-US" w:eastAsia="zh-CN"/>
            </w:rPr>
            <w:t>（三）推进流域生态修复，提升水生态系统功能</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_Toc9509 \h </w:instrText>
          </w:r>
          <w:r>
            <w:rPr>
              <w:b w:val="0"/>
              <w:bCs w:val="0"/>
              <w:color w:val="auto"/>
              <w:sz w:val="28"/>
              <w:szCs w:val="22"/>
              <w:highlight w:val="none"/>
            </w:rPr>
            <w:fldChar w:fldCharType="separate"/>
          </w:r>
          <w:r>
            <w:rPr>
              <w:b w:val="0"/>
              <w:bCs w:val="0"/>
              <w:color w:val="auto"/>
              <w:sz w:val="28"/>
              <w:szCs w:val="22"/>
              <w:highlight w:val="none"/>
            </w:rPr>
            <w:t>33</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_Toc18928 </w:instrText>
          </w:r>
          <w:r>
            <w:rPr>
              <w:rFonts w:hint="eastAsia"/>
              <w:b w:val="0"/>
              <w:bCs w:val="0"/>
              <w:color w:val="auto"/>
              <w:sz w:val="28"/>
              <w:szCs w:val="22"/>
              <w:highlight w:val="none"/>
              <w:lang w:eastAsia="zh-CN"/>
            </w:rPr>
            <w:fldChar w:fldCharType="separate"/>
          </w:r>
          <w:r>
            <w:rPr>
              <w:rFonts w:hint="eastAsia"/>
              <w:b w:val="0"/>
              <w:bCs w:val="0"/>
              <w:color w:val="auto"/>
              <w:sz w:val="28"/>
              <w:szCs w:val="22"/>
              <w:highlight w:val="none"/>
              <w:lang w:val="en-US" w:eastAsia="zh-CN"/>
            </w:rPr>
            <w:t>（四）保障河湖生态流量，协调水资源保护开发</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_Toc18928 \h </w:instrText>
          </w:r>
          <w:r>
            <w:rPr>
              <w:b w:val="0"/>
              <w:bCs w:val="0"/>
              <w:color w:val="auto"/>
              <w:sz w:val="28"/>
              <w:szCs w:val="22"/>
              <w:highlight w:val="none"/>
            </w:rPr>
            <w:fldChar w:fldCharType="separate"/>
          </w:r>
          <w:r>
            <w:rPr>
              <w:b w:val="0"/>
              <w:bCs w:val="0"/>
              <w:color w:val="auto"/>
              <w:sz w:val="28"/>
              <w:szCs w:val="22"/>
              <w:highlight w:val="none"/>
            </w:rPr>
            <w:t>34</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_Toc21337 </w:instrText>
          </w:r>
          <w:r>
            <w:rPr>
              <w:rFonts w:hint="eastAsia"/>
              <w:b w:val="0"/>
              <w:bCs w:val="0"/>
              <w:color w:val="auto"/>
              <w:sz w:val="28"/>
              <w:szCs w:val="22"/>
              <w:highlight w:val="none"/>
              <w:lang w:eastAsia="zh-CN"/>
            </w:rPr>
            <w:fldChar w:fldCharType="separate"/>
          </w:r>
          <w:r>
            <w:rPr>
              <w:rFonts w:hint="eastAsia"/>
              <w:b w:val="0"/>
              <w:bCs w:val="0"/>
              <w:color w:val="auto"/>
              <w:sz w:val="28"/>
              <w:szCs w:val="22"/>
              <w:highlight w:val="none"/>
              <w:lang w:val="en-US" w:eastAsia="zh-CN"/>
            </w:rPr>
            <w:t>（五）防范流域环境风险，营造水生态安全屏障</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_Toc21337 \h </w:instrText>
          </w:r>
          <w:r>
            <w:rPr>
              <w:b w:val="0"/>
              <w:bCs w:val="0"/>
              <w:color w:val="auto"/>
              <w:sz w:val="28"/>
              <w:szCs w:val="22"/>
              <w:highlight w:val="none"/>
            </w:rPr>
            <w:fldChar w:fldCharType="separate"/>
          </w:r>
          <w:r>
            <w:rPr>
              <w:b w:val="0"/>
              <w:bCs w:val="0"/>
              <w:color w:val="auto"/>
              <w:sz w:val="28"/>
              <w:szCs w:val="22"/>
              <w:highlight w:val="none"/>
            </w:rPr>
            <w:t>36</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19"/>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_Toc16625 </w:instrText>
          </w:r>
          <w:r>
            <w:rPr>
              <w:rFonts w:hint="eastAsia"/>
              <w:b w:val="0"/>
              <w:bCs w:val="0"/>
              <w:color w:val="auto"/>
              <w:sz w:val="28"/>
              <w:szCs w:val="22"/>
              <w:highlight w:val="none"/>
              <w:lang w:eastAsia="zh-CN"/>
            </w:rPr>
            <w:fldChar w:fldCharType="separate"/>
          </w:r>
          <w:r>
            <w:rPr>
              <w:rFonts w:hint="eastAsia" w:ascii="黑体" w:hAnsi="黑体" w:eastAsia="黑体" w:cs="黑体"/>
              <w:b w:val="0"/>
              <w:bCs w:val="0"/>
              <w:snapToGrid w:val="0"/>
              <w:color w:val="auto"/>
              <w:spacing w:val="1"/>
              <w:kern w:val="0"/>
              <w:sz w:val="28"/>
              <w:szCs w:val="32"/>
              <w:highlight w:val="none"/>
              <w:lang w:eastAsia="zh-CN"/>
              <w14:textOutline w14:w="5793" w14:cap="sq" w14:cmpd="sng">
                <w14:solidFill>
                  <w14:srgbClr w14:val="000000"/>
                </w14:solidFill>
                <w14:prstDash w14:val="solid"/>
                <w14:bevel/>
              </w14:textOutline>
            </w:rPr>
            <w:t>四、重点河流水环境</w:t>
          </w:r>
          <w:r>
            <w:rPr>
              <w:rFonts w:hint="eastAsia" w:ascii="黑体" w:hAnsi="黑体" w:eastAsia="黑体" w:cs="黑体"/>
              <w:b w:val="0"/>
              <w:bCs w:val="0"/>
              <w:snapToGrid w:val="0"/>
              <w:color w:val="auto"/>
              <w:spacing w:val="1"/>
              <w:kern w:val="0"/>
              <w:sz w:val="28"/>
              <w:szCs w:val="32"/>
              <w:highlight w:val="none"/>
              <w14:textOutline w14:w="5793" w14:cap="sq" w14:cmpd="sng">
                <w14:solidFill>
                  <w14:srgbClr w14:val="000000"/>
                </w14:solidFill>
                <w14:prstDash w14:val="solid"/>
                <w14:bevel/>
              </w14:textOutline>
            </w:rPr>
            <w:t>保护方案</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_Toc16625 \h </w:instrText>
          </w:r>
          <w:r>
            <w:rPr>
              <w:b w:val="0"/>
              <w:bCs w:val="0"/>
              <w:color w:val="auto"/>
              <w:sz w:val="28"/>
              <w:szCs w:val="22"/>
              <w:highlight w:val="none"/>
            </w:rPr>
            <w:fldChar w:fldCharType="separate"/>
          </w:r>
          <w:r>
            <w:rPr>
              <w:b w:val="0"/>
              <w:bCs w:val="0"/>
              <w:color w:val="auto"/>
              <w:sz w:val="28"/>
              <w:szCs w:val="22"/>
              <w:highlight w:val="none"/>
            </w:rPr>
            <w:t>38</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_Toc18215 </w:instrText>
          </w:r>
          <w:r>
            <w:rPr>
              <w:rFonts w:hint="eastAsia"/>
              <w:b w:val="0"/>
              <w:bCs w:val="0"/>
              <w:color w:val="auto"/>
              <w:sz w:val="28"/>
              <w:szCs w:val="22"/>
              <w:highlight w:val="none"/>
              <w:lang w:eastAsia="zh-CN"/>
            </w:rPr>
            <w:fldChar w:fldCharType="separate"/>
          </w:r>
          <w:r>
            <w:rPr>
              <w:rFonts w:hint="eastAsia" w:ascii="楷体" w:hAnsi="楷体" w:eastAsia="楷体" w:cs="楷体"/>
              <w:b w:val="0"/>
              <w:bCs w:val="0"/>
              <w:color w:val="auto"/>
              <w:spacing w:val="25"/>
              <w:sz w:val="28"/>
              <w:szCs w:val="32"/>
              <w:highlight w:val="none"/>
              <w:lang w:val="en-US" w:eastAsia="zh-CN"/>
              <w14:textOutline w14:w="5793" w14:cap="sq" w14:cmpd="sng">
                <w14:solidFill>
                  <w14:srgbClr w14:val="000000"/>
                </w14:solidFill>
                <w14:prstDash w14:val="solid"/>
                <w14:bevel/>
              </w14:textOutline>
            </w:rPr>
            <w:t>（一）策勒河</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_Toc18215 \h </w:instrText>
          </w:r>
          <w:r>
            <w:rPr>
              <w:b w:val="0"/>
              <w:bCs w:val="0"/>
              <w:color w:val="auto"/>
              <w:sz w:val="28"/>
              <w:szCs w:val="22"/>
              <w:highlight w:val="none"/>
            </w:rPr>
            <w:fldChar w:fldCharType="separate"/>
          </w:r>
          <w:r>
            <w:rPr>
              <w:b w:val="0"/>
              <w:bCs w:val="0"/>
              <w:color w:val="auto"/>
              <w:sz w:val="28"/>
              <w:szCs w:val="22"/>
              <w:highlight w:val="none"/>
            </w:rPr>
            <w:t>38</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_Toc16950 </w:instrText>
          </w:r>
          <w:r>
            <w:rPr>
              <w:rFonts w:hint="eastAsia"/>
              <w:b w:val="0"/>
              <w:bCs w:val="0"/>
              <w:color w:val="auto"/>
              <w:sz w:val="28"/>
              <w:szCs w:val="22"/>
              <w:highlight w:val="none"/>
              <w:lang w:eastAsia="zh-CN"/>
            </w:rPr>
            <w:fldChar w:fldCharType="separate"/>
          </w:r>
          <w:r>
            <w:rPr>
              <w:rFonts w:hint="eastAsia" w:ascii="楷体" w:hAnsi="楷体" w:eastAsia="楷体" w:cs="楷体"/>
              <w:b w:val="0"/>
              <w:bCs w:val="0"/>
              <w:color w:val="auto"/>
              <w:spacing w:val="25"/>
              <w:kern w:val="2"/>
              <w:sz w:val="28"/>
              <w:szCs w:val="32"/>
              <w:highlight w:val="none"/>
              <w:lang w:val="en-US" w:eastAsia="zh-CN" w:bidi="ar-SA"/>
              <w14:textOutline w14:w="5793" w14:cap="sq" w14:cmpd="sng">
                <w14:solidFill>
                  <w14:srgbClr w14:val="000000"/>
                </w14:solidFill>
                <w14:prstDash w14:val="solid"/>
                <w14:bevel/>
              </w14:textOutline>
            </w:rPr>
            <w:t>（二）努尔河</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_Toc16950 \h </w:instrText>
          </w:r>
          <w:r>
            <w:rPr>
              <w:b w:val="0"/>
              <w:bCs w:val="0"/>
              <w:color w:val="auto"/>
              <w:sz w:val="28"/>
              <w:szCs w:val="22"/>
              <w:highlight w:val="none"/>
            </w:rPr>
            <w:fldChar w:fldCharType="separate"/>
          </w:r>
          <w:r>
            <w:rPr>
              <w:b w:val="0"/>
              <w:bCs w:val="0"/>
              <w:color w:val="auto"/>
              <w:sz w:val="28"/>
              <w:szCs w:val="22"/>
              <w:highlight w:val="none"/>
            </w:rPr>
            <w:t>39</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_Toc30689 </w:instrText>
          </w:r>
          <w:r>
            <w:rPr>
              <w:rFonts w:hint="eastAsia"/>
              <w:b w:val="0"/>
              <w:bCs w:val="0"/>
              <w:color w:val="auto"/>
              <w:sz w:val="28"/>
              <w:szCs w:val="22"/>
              <w:highlight w:val="none"/>
              <w:lang w:eastAsia="zh-CN"/>
            </w:rPr>
            <w:fldChar w:fldCharType="separate"/>
          </w:r>
          <w:r>
            <w:rPr>
              <w:rFonts w:hint="eastAsia" w:ascii="楷体" w:hAnsi="楷体" w:eastAsia="楷体" w:cs="楷体"/>
              <w:b w:val="0"/>
              <w:bCs w:val="0"/>
              <w:color w:val="auto"/>
              <w:spacing w:val="25"/>
              <w:sz w:val="28"/>
              <w:szCs w:val="32"/>
              <w:highlight w:val="none"/>
              <w:lang w:val="en-US" w:eastAsia="zh-CN"/>
              <w14:textOutline w14:w="5793" w14:cap="sq" w14:cmpd="sng">
                <w14:solidFill>
                  <w14:srgbClr w14:val="000000"/>
                </w14:solidFill>
                <w14:prstDash w14:val="solid"/>
                <w14:bevel/>
              </w14:textOutline>
            </w:rPr>
            <w:t>（三）恰恰河</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_Toc30689 \h </w:instrText>
          </w:r>
          <w:r>
            <w:rPr>
              <w:b w:val="0"/>
              <w:bCs w:val="0"/>
              <w:color w:val="auto"/>
              <w:sz w:val="28"/>
              <w:szCs w:val="22"/>
              <w:highlight w:val="none"/>
            </w:rPr>
            <w:fldChar w:fldCharType="separate"/>
          </w:r>
          <w:r>
            <w:rPr>
              <w:b w:val="0"/>
              <w:bCs w:val="0"/>
              <w:color w:val="auto"/>
              <w:sz w:val="28"/>
              <w:szCs w:val="22"/>
              <w:highlight w:val="none"/>
            </w:rPr>
            <w:t>40</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_Toc12940 </w:instrText>
          </w:r>
          <w:r>
            <w:rPr>
              <w:rFonts w:hint="eastAsia"/>
              <w:b w:val="0"/>
              <w:bCs w:val="0"/>
              <w:color w:val="auto"/>
              <w:sz w:val="28"/>
              <w:szCs w:val="22"/>
              <w:highlight w:val="none"/>
              <w:lang w:eastAsia="zh-CN"/>
            </w:rPr>
            <w:fldChar w:fldCharType="separate"/>
          </w:r>
          <w:r>
            <w:rPr>
              <w:rFonts w:hint="eastAsia" w:ascii="楷体" w:hAnsi="楷体" w:eastAsia="楷体" w:cs="楷体"/>
              <w:b w:val="0"/>
              <w:bCs w:val="0"/>
              <w:color w:val="auto"/>
              <w:spacing w:val="25"/>
              <w:sz w:val="28"/>
              <w:szCs w:val="32"/>
              <w:highlight w:val="none"/>
              <w:lang w:val="en-US" w:eastAsia="zh-CN"/>
              <w14:textOutline w14:w="5793" w14:cap="sq" w14:cmpd="sng">
                <w14:solidFill>
                  <w14:srgbClr w14:val="000000"/>
                </w14:solidFill>
                <w14:prstDash w14:val="solid"/>
                <w14:bevel/>
              </w14:textOutline>
            </w:rPr>
            <w:t>（四）乌鲁克萨依河</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_Toc12940 \h </w:instrText>
          </w:r>
          <w:r>
            <w:rPr>
              <w:b w:val="0"/>
              <w:bCs w:val="0"/>
              <w:color w:val="auto"/>
              <w:sz w:val="28"/>
              <w:szCs w:val="22"/>
              <w:highlight w:val="none"/>
            </w:rPr>
            <w:fldChar w:fldCharType="separate"/>
          </w:r>
          <w:r>
            <w:rPr>
              <w:b w:val="0"/>
              <w:bCs w:val="0"/>
              <w:color w:val="auto"/>
              <w:sz w:val="28"/>
              <w:szCs w:val="22"/>
              <w:highlight w:val="none"/>
            </w:rPr>
            <w:t>42</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19"/>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_Toc16116 </w:instrText>
          </w:r>
          <w:r>
            <w:rPr>
              <w:rFonts w:hint="eastAsia"/>
              <w:b w:val="0"/>
              <w:bCs w:val="0"/>
              <w:color w:val="auto"/>
              <w:sz w:val="28"/>
              <w:szCs w:val="22"/>
              <w:highlight w:val="none"/>
              <w:lang w:eastAsia="zh-CN"/>
            </w:rPr>
            <w:fldChar w:fldCharType="separate"/>
          </w:r>
          <w:r>
            <w:rPr>
              <w:rFonts w:hint="eastAsia" w:ascii="黑体" w:hAnsi="黑体" w:eastAsia="黑体" w:cs="黑体"/>
              <w:b w:val="0"/>
              <w:bCs w:val="0"/>
              <w:color w:val="auto"/>
              <w:spacing w:val="7"/>
              <w:sz w:val="28"/>
              <w:szCs w:val="32"/>
              <w:highlight w:val="none"/>
              <w14:textOutline w14:w="5793" w14:cap="sq" w14:cmpd="sng">
                <w14:solidFill>
                  <w14:srgbClr w14:val="000000"/>
                </w14:solidFill>
                <w14:prstDash w14:val="solid"/>
                <w14:bevel/>
              </w14:textOutline>
            </w:rPr>
            <w:t>五、 工程项目及投资</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_Toc16116 \h </w:instrText>
          </w:r>
          <w:r>
            <w:rPr>
              <w:b w:val="0"/>
              <w:bCs w:val="0"/>
              <w:color w:val="auto"/>
              <w:sz w:val="28"/>
              <w:szCs w:val="22"/>
              <w:highlight w:val="none"/>
            </w:rPr>
            <w:fldChar w:fldCharType="separate"/>
          </w:r>
          <w:r>
            <w:rPr>
              <w:b w:val="0"/>
              <w:bCs w:val="0"/>
              <w:color w:val="auto"/>
              <w:sz w:val="28"/>
              <w:szCs w:val="22"/>
              <w:highlight w:val="none"/>
            </w:rPr>
            <w:t>44</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19"/>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_Toc20196 </w:instrText>
          </w:r>
          <w:r>
            <w:rPr>
              <w:rFonts w:hint="eastAsia"/>
              <w:b w:val="0"/>
              <w:bCs w:val="0"/>
              <w:color w:val="auto"/>
              <w:sz w:val="28"/>
              <w:szCs w:val="22"/>
              <w:highlight w:val="none"/>
              <w:lang w:eastAsia="zh-CN"/>
            </w:rPr>
            <w:fldChar w:fldCharType="separate"/>
          </w:r>
          <w:r>
            <w:rPr>
              <w:rFonts w:ascii="黑体" w:hAnsi="黑体" w:eastAsia="黑体" w:cs="黑体"/>
              <w:b w:val="0"/>
              <w:bCs w:val="0"/>
              <w:color w:val="auto"/>
              <w:spacing w:val="7"/>
              <w:sz w:val="28"/>
              <w:szCs w:val="32"/>
              <w:highlight w:val="none"/>
              <w14:textOutline w14:w="5793" w14:cap="sq" w14:cmpd="sng">
                <w14:solidFill>
                  <w14:srgbClr w14:val="000000"/>
                </w14:solidFill>
                <w14:prstDash w14:val="solid"/>
                <w14:bevel/>
              </w14:textOutline>
            </w:rPr>
            <w:t>六、保障措施</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_Toc20196 \h </w:instrText>
          </w:r>
          <w:r>
            <w:rPr>
              <w:b w:val="0"/>
              <w:bCs w:val="0"/>
              <w:color w:val="auto"/>
              <w:sz w:val="28"/>
              <w:szCs w:val="22"/>
              <w:highlight w:val="none"/>
            </w:rPr>
            <w:fldChar w:fldCharType="separate"/>
          </w:r>
          <w:r>
            <w:rPr>
              <w:b w:val="0"/>
              <w:bCs w:val="0"/>
              <w:color w:val="auto"/>
              <w:sz w:val="28"/>
              <w:szCs w:val="22"/>
              <w:highlight w:val="none"/>
            </w:rPr>
            <w:t>49</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_Toc1386 </w:instrText>
          </w:r>
          <w:r>
            <w:rPr>
              <w:rFonts w:hint="eastAsia"/>
              <w:b w:val="0"/>
              <w:bCs w:val="0"/>
              <w:color w:val="auto"/>
              <w:sz w:val="28"/>
              <w:szCs w:val="22"/>
              <w:highlight w:val="none"/>
              <w:lang w:eastAsia="zh-CN"/>
            </w:rPr>
            <w:fldChar w:fldCharType="separate"/>
          </w:r>
          <w:r>
            <w:rPr>
              <w:rFonts w:hint="eastAsia" w:ascii="楷体" w:hAnsi="楷体" w:eastAsia="楷体" w:cs="楷体"/>
              <w:b w:val="0"/>
              <w:bCs w:val="0"/>
              <w:color w:val="auto"/>
              <w:spacing w:val="25"/>
              <w:sz w:val="28"/>
              <w:szCs w:val="32"/>
              <w:highlight w:val="none"/>
              <w:lang w:val="en-US" w:eastAsia="zh-CN"/>
              <w14:textOutline w14:w="5793" w14:cap="sq" w14:cmpd="sng">
                <w14:solidFill>
                  <w14:srgbClr w14:val="000000"/>
                </w14:solidFill>
                <w14:prstDash w14:val="solid"/>
                <w14:bevel/>
              </w14:textOutline>
            </w:rPr>
            <w:t>（一）强化组织领导</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_Toc1386 \h </w:instrText>
          </w:r>
          <w:r>
            <w:rPr>
              <w:b w:val="0"/>
              <w:bCs w:val="0"/>
              <w:color w:val="auto"/>
              <w:sz w:val="28"/>
              <w:szCs w:val="22"/>
              <w:highlight w:val="none"/>
            </w:rPr>
            <w:fldChar w:fldCharType="separate"/>
          </w:r>
          <w:r>
            <w:rPr>
              <w:b w:val="0"/>
              <w:bCs w:val="0"/>
              <w:color w:val="auto"/>
              <w:sz w:val="28"/>
              <w:szCs w:val="22"/>
              <w:highlight w:val="none"/>
            </w:rPr>
            <w:t>49</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_Toc27529 </w:instrText>
          </w:r>
          <w:r>
            <w:rPr>
              <w:rFonts w:hint="eastAsia"/>
              <w:b w:val="0"/>
              <w:bCs w:val="0"/>
              <w:color w:val="auto"/>
              <w:sz w:val="28"/>
              <w:szCs w:val="22"/>
              <w:highlight w:val="none"/>
              <w:lang w:eastAsia="zh-CN"/>
            </w:rPr>
            <w:fldChar w:fldCharType="separate"/>
          </w:r>
          <w:r>
            <w:rPr>
              <w:rFonts w:hint="eastAsia" w:ascii="楷体" w:hAnsi="楷体" w:eastAsia="楷体" w:cs="楷体"/>
              <w:b w:val="0"/>
              <w:bCs w:val="0"/>
              <w:color w:val="auto"/>
              <w:spacing w:val="25"/>
              <w:sz w:val="28"/>
              <w:szCs w:val="32"/>
              <w:highlight w:val="none"/>
              <w:lang w:val="en-US" w:eastAsia="zh-CN"/>
              <w14:textOutline w14:w="5793" w14:cap="sq" w14:cmpd="sng">
                <w14:solidFill>
                  <w14:srgbClr w14:val="000000"/>
                </w14:solidFill>
                <w14:prstDash w14:val="solid"/>
                <w14:bevel/>
              </w14:textOutline>
            </w:rPr>
            <w:t>（二）强化经济投入</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_Toc27529 \h </w:instrText>
          </w:r>
          <w:r>
            <w:rPr>
              <w:b w:val="0"/>
              <w:bCs w:val="0"/>
              <w:color w:val="auto"/>
              <w:sz w:val="28"/>
              <w:szCs w:val="22"/>
              <w:highlight w:val="none"/>
            </w:rPr>
            <w:fldChar w:fldCharType="separate"/>
          </w:r>
          <w:r>
            <w:rPr>
              <w:b w:val="0"/>
              <w:bCs w:val="0"/>
              <w:color w:val="auto"/>
              <w:sz w:val="28"/>
              <w:szCs w:val="22"/>
              <w:highlight w:val="none"/>
            </w:rPr>
            <w:t>49</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_Toc14919 </w:instrText>
          </w:r>
          <w:r>
            <w:rPr>
              <w:rFonts w:hint="eastAsia"/>
              <w:b w:val="0"/>
              <w:bCs w:val="0"/>
              <w:color w:val="auto"/>
              <w:sz w:val="28"/>
              <w:szCs w:val="22"/>
              <w:highlight w:val="none"/>
              <w:lang w:eastAsia="zh-CN"/>
            </w:rPr>
            <w:fldChar w:fldCharType="separate"/>
          </w:r>
          <w:r>
            <w:rPr>
              <w:rFonts w:hint="eastAsia" w:ascii="楷体" w:hAnsi="楷体" w:eastAsia="楷体" w:cs="楷体"/>
              <w:b w:val="0"/>
              <w:bCs w:val="0"/>
              <w:color w:val="auto"/>
              <w:spacing w:val="25"/>
              <w:sz w:val="28"/>
              <w:szCs w:val="32"/>
              <w:highlight w:val="none"/>
              <w:lang w:val="en-US" w:eastAsia="zh-CN"/>
              <w14:textOutline w14:w="5793" w14:cap="sq" w14:cmpd="sng">
                <w14:solidFill>
                  <w14:srgbClr w14:val="000000"/>
                </w14:solidFill>
                <w14:prstDash w14:val="solid"/>
                <w14:bevel/>
              </w14:textOutline>
            </w:rPr>
            <w:t>（三）强化科技支撑</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_Toc14919 \h </w:instrText>
          </w:r>
          <w:r>
            <w:rPr>
              <w:b w:val="0"/>
              <w:bCs w:val="0"/>
              <w:color w:val="auto"/>
              <w:sz w:val="28"/>
              <w:szCs w:val="22"/>
              <w:highlight w:val="none"/>
            </w:rPr>
            <w:fldChar w:fldCharType="separate"/>
          </w:r>
          <w:r>
            <w:rPr>
              <w:b w:val="0"/>
              <w:bCs w:val="0"/>
              <w:color w:val="auto"/>
              <w:sz w:val="28"/>
              <w:szCs w:val="22"/>
              <w:highlight w:val="none"/>
            </w:rPr>
            <w:t>50</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_Toc12334 </w:instrText>
          </w:r>
          <w:r>
            <w:rPr>
              <w:rFonts w:hint="eastAsia"/>
              <w:b w:val="0"/>
              <w:bCs w:val="0"/>
              <w:color w:val="auto"/>
              <w:sz w:val="28"/>
              <w:szCs w:val="22"/>
              <w:highlight w:val="none"/>
              <w:lang w:eastAsia="zh-CN"/>
            </w:rPr>
            <w:fldChar w:fldCharType="separate"/>
          </w:r>
          <w:r>
            <w:rPr>
              <w:rFonts w:hint="eastAsia" w:ascii="楷体" w:hAnsi="楷体" w:eastAsia="楷体" w:cs="楷体"/>
              <w:b w:val="0"/>
              <w:bCs w:val="0"/>
              <w:color w:val="auto"/>
              <w:spacing w:val="25"/>
              <w:sz w:val="28"/>
              <w:szCs w:val="32"/>
              <w:highlight w:val="none"/>
              <w:lang w:val="en-US" w:eastAsia="zh-CN"/>
              <w14:textOutline w14:w="5793" w14:cap="sq" w14:cmpd="sng">
                <w14:solidFill>
                  <w14:srgbClr w14:val="000000"/>
                </w14:solidFill>
                <w14:prstDash w14:val="solid"/>
                <w14:bevel/>
              </w14:textOutline>
            </w:rPr>
            <w:t>（四）强化评估考核</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_Toc12334 \h </w:instrText>
          </w:r>
          <w:r>
            <w:rPr>
              <w:b w:val="0"/>
              <w:bCs w:val="0"/>
              <w:color w:val="auto"/>
              <w:sz w:val="28"/>
              <w:szCs w:val="22"/>
              <w:highlight w:val="none"/>
            </w:rPr>
            <w:fldChar w:fldCharType="separate"/>
          </w:r>
          <w:r>
            <w:rPr>
              <w:b w:val="0"/>
              <w:bCs w:val="0"/>
              <w:color w:val="auto"/>
              <w:sz w:val="28"/>
              <w:szCs w:val="22"/>
              <w:highlight w:val="none"/>
            </w:rPr>
            <w:t>50</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21"/>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_Toc14281 </w:instrText>
          </w:r>
          <w:r>
            <w:rPr>
              <w:rFonts w:hint="eastAsia"/>
              <w:b w:val="0"/>
              <w:bCs w:val="0"/>
              <w:color w:val="auto"/>
              <w:sz w:val="28"/>
              <w:szCs w:val="22"/>
              <w:highlight w:val="none"/>
              <w:lang w:eastAsia="zh-CN"/>
            </w:rPr>
            <w:fldChar w:fldCharType="separate"/>
          </w:r>
          <w:r>
            <w:rPr>
              <w:rFonts w:hint="eastAsia" w:ascii="楷体" w:hAnsi="楷体" w:eastAsia="楷体" w:cs="楷体"/>
              <w:b w:val="0"/>
              <w:bCs w:val="0"/>
              <w:color w:val="auto"/>
              <w:spacing w:val="25"/>
              <w:sz w:val="28"/>
              <w:szCs w:val="32"/>
              <w:highlight w:val="none"/>
              <w:lang w:val="en-US" w:eastAsia="zh-CN"/>
              <w14:textOutline w14:w="5793" w14:cap="sq" w14:cmpd="sng">
                <w14:solidFill>
                  <w14:srgbClr w14:val="000000"/>
                </w14:solidFill>
                <w14:prstDash w14:val="solid"/>
                <w14:bevel/>
              </w14:textOutline>
            </w:rPr>
            <w:t>（五）公众参与</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_Toc14281 \h </w:instrText>
          </w:r>
          <w:r>
            <w:rPr>
              <w:b w:val="0"/>
              <w:bCs w:val="0"/>
              <w:color w:val="auto"/>
              <w:sz w:val="28"/>
              <w:szCs w:val="22"/>
              <w:highlight w:val="none"/>
            </w:rPr>
            <w:fldChar w:fldCharType="separate"/>
          </w:r>
          <w:r>
            <w:rPr>
              <w:b w:val="0"/>
              <w:bCs w:val="0"/>
              <w:color w:val="auto"/>
              <w:sz w:val="28"/>
              <w:szCs w:val="22"/>
              <w:highlight w:val="none"/>
            </w:rPr>
            <w:t>50</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19"/>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_Toc30200 </w:instrText>
          </w:r>
          <w:r>
            <w:rPr>
              <w:rFonts w:hint="eastAsia"/>
              <w:b w:val="0"/>
              <w:bCs w:val="0"/>
              <w:color w:val="auto"/>
              <w:sz w:val="28"/>
              <w:szCs w:val="22"/>
              <w:highlight w:val="none"/>
              <w:lang w:eastAsia="zh-CN"/>
            </w:rPr>
            <w:fldChar w:fldCharType="separate"/>
          </w:r>
          <w:r>
            <w:rPr>
              <w:rFonts w:hint="eastAsia" w:ascii="黑体" w:hAnsi="黑体" w:eastAsia="黑体" w:cs="黑体"/>
              <w:b w:val="0"/>
              <w:bCs w:val="0"/>
              <w:color w:val="auto"/>
              <w:spacing w:val="7"/>
              <w:sz w:val="28"/>
              <w:szCs w:val="32"/>
              <w:highlight w:val="none"/>
              <w:lang w:eastAsia="zh-CN"/>
              <w14:textOutline w14:w="5793" w14:cap="sq" w14:cmpd="sng">
                <w14:solidFill>
                  <w14:srgbClr w14:val="000000"/>
                </w14:solidFill>
                <w14:prstDash w14:val="solid"/>
                <w14:bevel/>
              </w14:textOutline>
            </w:rPr>
            <w:t>附表</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_Toc30200 \h </w:instrText>
          </w:r>
          <w:r>
            <w:rPr>
              <w:b w:val="0"/>
              <w:bCs w:val="0"/>
              <w:color w:val="auto"/>
              <w:sz w:val="28"/>
              <w:szCs w:val="22"/>
              <w:highlight w:val="none"/>
            </w:rPr>
            <w:fldChar w:fldCharType="separate"/>
          </w:r>
          <w:r>
            <w:rPr>
              <w:b w:val="0"/>
              <w:bCs w:val="0"/>
              <w:color w:val="auto"/>
              <w:sz w:val="28"/>
              <w:szCs w:val="22"/>
              <w:highlight w:val="none"/>
            </w:rPr>
            <w:t>52</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pStyle w:val="19"/>
            <w:tabs>
              <w:tab w:val="right" w:leader="dot" w:pos="8306"/>
            </w:tabs>
            <w:spacing w:line="240" w:lineRule="auto"/>
            <w:rPr>
              <w:b w:val="0"/>
              <w:bCs w:val="0"/>
              <w:color w:val="auto"/>
              <w:sz w:val="28"/>
              <w:szCs w:val="22"/>
              <w:highlight w:val="none"/>
            </w:rPr>
          </w:pPr>
          <w:r>
            <w:rPr>
              <w:rFonts w:hint="eastAsia"/>
              <w:b w:val="0"/>
              <w:bCs w:val="0"/>
              <w:color w:val="auto"/>
              <w:sz w:val="28"/>
              <w:szCs w:val="22"/>
              <w:highlight w:val="none"/>
              <w:lang w:eastAsia="zh-CN"/>
            </w:rPr>
            <w:fldChar w:fldCharType="begin"/>
          </w:r>
          <w:r>
            <w:rPr>
              <w:rFonts w:hint="eastAsia"/>
              <w:b w:val="0"/>
              <w:bCs w:val="0"/>
              <w:color w:val="auto"/>
              <w:sz w:val="28"/>
              <w:szCs w:val="22"/>
              <w:highlight w:val="none"/>
              <w:lang w:eastAsia="zh-CN"/>
            </w:rPr>
            <w:instrText xml:space="preserve"> HYPERLINK \l _Toc18837 </w:instrText>
          </w:r>
          <w:r>
            <w:rPr>
              <w:rFonts w:hint="eastAsia"/>
              <w:b w:val="0"/>
              <w:bCs w:val="0"/>
              <w:color w:val="auto"/>
              <w:sz w:val="28"/>
              <w:szCs w:val="22"/>
              <w:highlight w:val="none"/>
              <w:lang w:eastAsia="zh-CN"/>
            </w:rPr>
            <w:fldChar w:fldCharType="separate"/>
          </w:r>
          <w:r>
            <w:rPr>
              <w:rFonts w:hint="eastAsia" w:ascii="黑体" w:hAnsi="黑体" w:eastAsia="黑体" w:cs="黑体"/>
              <w:b w:val="0"/>
              <w:bCs w:val="0"/>
              <w:color w:val="auto"/>
              <w:spacing w:val="7"/>
              <w:sz w:val="28"/>
              <w:szCs w:val="32"/>
              <w:highlight w:val="none"/>
              <w:lang w:eastAsia="zh-CN"/>
              <w14:textOutline w14:w="5793" w14:cap="sq" w14:cmpd="sng">
                <w14:solidFill>
                  <w14:srgbClr w14:val="000000"/>
                </w14:solidFill>
                <w14:prstDash w14:val="solid"/>
                <w14:bevel/>
              </w14:textOutline>
            </w:rPr>
            <w:t>附图</w:t>
          </w:r>
          <w:r>
            <w:rPr>
              <w:b w:val="0"/>
              <w:bCs w:val="0"/>
              <w:color w:val="auto"/>
              <w:sz w:val="28"/>
              <w:szCs w:val="22"/>
              <w:highlight w:val="none"/>
            </w:rPr>
            <w:tab/>
          </w:r>
          <w:r>
            <w:rPr>
              <w:b w:val="0"/>
              <w:bCs w:val="0"/>
              <w:color w:val="auto"/>
              <w:sz w:val="28"/>
              <w:szCs w:val="22"/>
              <w:highlight w:val="none"/>
            </w:rPr>
            <w:fldChar w:fldCharType="begin"/>
          </w:r>
          <w:r>
            <w:rPr>
              <w:b w:val="0"/>
              <w:bCs w:val="0"/>
              <w:color w:val="auto"/>
              <w:sz w:val="28"/>
              <w:szCs w:val="22"/>
              <w:highlight w:val="none"/>
            </w:rPr>
            <w:instrText xml:space="preserve"> PAGEREF _Toc18837 \h </w:instrText>
          </w:r>
          <w:r>
            <w:rPr>
              <w:b w:val="0"/>
              <w:bCs w:val="0"/>
              <w:color w:val="auto"/>
              <w:sz w:val="28"/>
              <w:szCs w:val="22"/>
              <w:highlight w:val="none"/>
            </w:rPr>
            <w:fldChar w:fldCharType="separate"/>
          </w:r>
          <w:r>
            <w:rPr>
              <w:b w:val="0"/>
              <w:bCs w:val="0"/>
              <w:color w:val="auto"/>
              <w:sz w:val="28"/>
              <w:szCs w:val="22"/>
              <w:highlight w:val="none"/>
            </w:rPr>
            <w:t>53</w:t>
          </w:r>
          <w:r>
            <w:rPr>
              <w:b w:val="0"/>
              <w:bCs w:val="0"/>
              <w:color w:val="auto"/>
              <w:sz w:val="28"/>
              <w:szCs w:val="22"/>
              <w:highlight w:val="none"/>
            </w:rPr>
            <w:fldChar w:fldCharType="end"/>
          </w:r>
          <w:r>
            <w:rPr>
              <w:rFonts w:hint="eastAsia"/>
              <w:b w:val="0"/>
              <w:bCs w:val="0"/>
              <w:color w:val="auto"/>
              <w:sz w:val="28"/>
              <w:szCs w:val="22"/>
              <w:highlight w:val="none"/>
              <w:lang w:eastAsia="zh-CN"/>
            </w:rPr>
            <w:fldChar w:fldCharType="end"/>
          </w:r>
        </w:p>
        <w:p>
          <w:pPr>
            <w:spacing w:line="240" w:lineRule="auto"/>
            <w:rPr>
              <w:rFonts w:hint="eastAsia"/>
              <w:color w:val="auto"/>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b w:val="0"/>
              <w:bCs w:val="0"/>
              <w:color w:val="auto"/>
              <w:sz w:val="28"/>
              <w:szCs w:val="22"/>
              <w:highlight w:val="none"/>
              <w:lang w:eastAsia="zh-CN"/>
            </w:rPr>
            <w:fldChar w:fldCharType="end"/>
          </w:r>
        </w:p>
      </w:sdtContent>
    </w:sdt>
    <w:p>
      <w:pPr>
        <w:spacing w:line="360" w:lineRule="auto"/>
        <w:ind w:left="0" w:leftChars="0" w:firstLine="0" w:firstLineChars="0"/>
        <w:jc w:val="center"/>
        <w:outlineLvl w:val="0"/>
        <w:rPr>
          <w:rFonts w:hint="eastAsia" w:ascii="仿宋_GB2312" w:hAnsi="仿宋_GB2312" w:eastAsia="仿宋_GB2312" w:cs="仿宋_GB2312"/>
          <w:b/>
          <w:bCs/>
          <w:color w:val="auto"/>
          <w:sz w:val="32"/>
          <w:szCs w:val="32"/>
          <w:highlight w:val="none"/>
          <w:lang w:eastAsia="zh-CN"/>
        </w:rPr>
      </w:pPr>
      <w:bookmarkStart w:id="3" w:name="_Toc2687"/>
      <w:r>
        <w:rPr>
          <w:rFonts w:hint="eastAsia" w:ascii="仿宋_GB2312" w:hAnsi="仿宋_GB2312" w:eastAsia="仿宋_GB2312" w:cs="仿宋_GB2312"/>
          <w:b/>
          <w:bCs/>
          <w:color w:val="auto"/>
          <w:sz w:val="32"/>
          <w:szCs w:val="32"/>
          <w:highlight w:val="none"/>
          <w:lang w:eastAsia="zh-CN"/>
        </w:rPr>
        <w:t>前</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b/>
          <w:bCs/>
          <w:color w:val="auto"/>
          <w:sz w:val="32"/>
          <w:szCs w:val="32"/>
          <w:highlight w:val="none"/>
          <w:lang w:eastAsia="zh-CN"/>
        </w:rPr>
        <w:t>言</w:t>
      </w:r>
      <w:bookmarkEnd w:id="3"/>
    </w:p>
    <w:p>
      <w:pPr>
        <w:spacing w:line="360" w:lineRule="auto"/>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为推进“十四五”时期水生态环境保护工作，</w:t>
      </w:r>
      <w:r>
        <w:rPr>
          <w:rFonts w:hint="eastAsia" w:ascii="仿宋_GB2312" w:hAnsi="仿宋_GB2312" w:eastAsia="仿宋_GB2312" w:cs="仿宋_GB2312"/>
          <w:color w:val="auto"/>
          <w:sz w:val="32"/>
          <w:szCs w:val="32"/>
          <w:highlight w:val="none"/>
          <w:lang w:eastAsia="zh-CN"/>
        </w:rPr>
        <w:t>以</w:t>
      </w:r>
      <w:r>
        <w:rPr>
          <w:rFonts w:hint="eastAsia" w:ascii="仿宋_GB2312" w:hAnsi="仿宋_GB2312" w:eastAsia="仿宋_GB2312" w:cs="仿宋_GB2312"/>
          <w:color w:val="auto"/>
          <w:sz w:val="32"/>
          <w:szCs w:val="32"/>
          <w:highlight w:val="none"/>
        </w:rPr>
        <w:t>习近平新时代中国特色社会主义思想为指导，深入践行“绿水青山就是金山银山”理念，统筹推进水环境、水生态、水资源协同共治，推动水生态环境质量全面改善，水生态健康逐步恢复</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根据国家重点流域水生态环境保护规划</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《中华人民共和国水污染防治法》和《</w:t>
      </w:r>
      <w:r>
        <w:rPr>
          <w:rFonts w:hint="eastAsia" w:ascii="仿宋_GB2312" w:hAnsi="仿宋_GB2312" w:eastAsia="仿宋_GB2312" w:cs="仿宋_GB2312"/>
          <w:color w:val="auto"/>
          <w:sz w:val="32"/>
          <w:szCs w:val="32"/>
          <w:highlight w:val="none"/>
          <w:lang w:eastAsia="zh-CN"/>
        </w:rPr>
        <w:t>策勒县</w:t>
      </w:r>
      <w:r>
        <w:rPr>
          <w:rFonts w:hint="eastAsia" w:ascii="仿宋_GB2312" w:hAnsi="仿宋_GB2312" w:eastAsia="仿宋_GB2312" w:cs="仿宋_GB2312"/>
          <w:color w:val="auto"/>
          <w:sz w:val="32"/>
          <w:szCs w:val="32"/>
          <w:highlight w:val="none"/>
        </w:rPr>
        <w:t>国民经济和社会发展第十四个五年规划》</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策勒县</w:t>
      </w:r>
      <w:r>
        <w:rPr>
          <w:rFonts w:hint="eastAsia" w:ascii="仿宋_GB2312" w:hAnsi="仿宋_GB2312" w:eastAsia="仿宋_GB2312" w:cs="仿宋_GB2312"/>
          <w:color w:val="auto"/>
          <w:sz w:val="32"/>
          <w:szCs w:val="32"/>
          <w:highlight w:val="none"/>
        </w:rPr>
        <w:t>生态环境保护“十四五”规划》，以及国家、自治区和</w:t>
      </w:r>
      <w:r>
        <w:rPr>
          <w:rFonts w:hint="eastAsia" w:ascii="仿宋_GB2312" w:hAnsi="仿宋_GB2312" w:eastAsia="仿宋_GB2312" w:cs="仿宋_GB2312"/>
          <w:color w:val="auto"/>
          <w:sz w:val="32"/>
          <w:szCs w:val="32"/>
          <w:highlight w:val="none"/>
          <w:lang w:eastAsia="zh-CN"/>
        </w:rPr>
        <w:t>和田地区</w:t>
      </w:r>
      <w:r>
        <w:rPr>
          <w:rFonts w:hint="eastAsia" w:ascii="仿宋_GB2312" w:hAnsi="仿宋_GB2312" w:eastAsia="仿宋_GB2312" w:cs="仿宋_GB2312"/>
          <w:color w:val="auto"/>
          <w:sz w:val="32"/>
          <w:szCs w:val="32"/>
          <w:highlight w:val="none"/>
        </w:rPr>
        <w:t>有关规划编制要求，结合</w:t>
      </w:r>
      <w:r>
        <w:rPr>
          <w:rFonts w:hint="eastAsia" w:ascii="仿宋_GB2312" w:hAnsi="仿宋_GB2312" w:eastAsia="仿宋_GB2312" w:cs="仿宋_GB2312"/>
          <w:color w:val="auto"/>
          <w:sz w:val="32"/>
          <w:szCs w:val="32"/>
          <w:highlight w:val="none"/>
          <w:lang w:eastAsia="zh-CN"/>
        </w:rPr>
        <w:t>策勒县</w:t>
      </w:r>
      <w:r>
        <w:rPr>
          <w:rFonts w:hint="eastAsia" w:ascii="仿宋_GB2312" w:hAnsi="仿宋_GB2312" w:eastAsia="仿宋_GB2312" w:cs="仿宋_GB2312"/>
          <w:color w:val="auto"/>
          <w:sz w:val="32"/>
          <w:szCs w:val="32"/>
          <w:highlight w:val="none"/>
        </w:rPr>
        <w:t>实际</w:t>
      </w:r>
      <w:r>
        <w:rPr>
          <w:rFonts w:hint="eastAsia" w:ascii="仿宋_GB2312" w:hAnsi="仿宋_GB2312" w:eastAsia="仿宋_GB2312" w:cs="仿宋_GB2312"/>
          <w:color w:val="auto"/>
          <w:sz w:val="32"/>
          <w:szCs w:val="32"/>
          <w:highlight w:val="none"/>
          <w:lang w:eastAsia="zh-CN"/>
        </w:rPr>
        <w:t>情况</w:t>
      </w:r>
      <w:r>
        <w:rPr>
          <w:rFonts w:hint="eastAsia" w:ascii="仿宋_GB2312" w:hAnsi="仿宋_GB2312" w:eastAsia="仿宋_GB2312" w:cs="仿宋_GB2312"/>
          <w:color w:val="auto"/>
          <w:sz w:val="32"/>
          <w:szCs w:val="32"/>
          <w:highlight w:val="none"/>
        </w:rPr>
        <w:t>，编制</w:t>
      </w:r>
      <w:r>
        <w:rPr>
          <w:rFonts w:hint="eastAsia" w:ascii="仿宋_GB2312" w:hAnsi="仿宋_GB2312" w:eastAsia="仿宋_GB2312" w:cs="仿宋_GB2312"/>
          <w:color w:val="auto"/>
          <w:sz w:val="32"/>
          <w:szCs w:val="32"/>
          <w:highlight w:val="none"/>
          <w:lang w:eastAsia="zh-CN"/>
        </w:rPr>
        <w:t>本</w:t>
      </w:r>
      <w:r>
        <w:rPr>
          <w:rFonts w:hint="eastAsia" w:ascii="仿宋_GB2312" w:hAnsi="仿宋_GB2312" w:eastAsia="仿宋_GB2312" w:cs="仿宋_GB2312"/>
          <w:color w:val="auto"/>
          <w:sz w:val="32"/>
          <w:szCs w:val="32"/>
          <w:highlight w:val="none"/>
        </w:rPr>
        <w:t>《规划》。</w:t>
      </w:r>
    </w:p>
    <w:p>
      <w:pPr>
        <w:pStyle w:val="20"/>
        <w:rPr>
          <w:color w:val="auto"/>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keepNext w:val="0"/>
        <w:widowControl/>
        <w:kinsoku w:val="0"/>
        <w:autoSpaceDE w:val="0"/>
        <w:autoSpaceDN w:val="0"/>
        <w:spacing w:before="282" w:line="360" w:lineRule="auto"/>
        <w:ind w:left="0" w:leftChars="0" w:firstLine="0" w:firstLineChars="0"/>
        <w:jc w:val="left"/>
        <w:textAlignment w:val="baseline"/>
        <w:outlineLvl w:val="0"/>
        <w:rPr>
          <w:rFonts w:hint="eastAsia" w:ascii="黑体" w:hAnsi="黑体" w:eastAsia="黑体" w:cs="黑体"/>
          <w:snapToGrid w:val="0"/>
          <w:color w:val="auto"/>
          <w:spacing w:val="12"/>
          <w:kern w:val="0"/>
          <w:position w:val="4"/>
          <w:sz w:val="31"/>
          <w:szCs w:val="31"/>
          <w:highlight w:val="none"/>
          <w14:textOutline w14:w="5793" w14:cap="sq" w14:cmpd="sng">
            <w14:solidFill>
              <w14:srgbClr w14:val="000000"/>
            </w14:solidFill>
            <w14:prstDash w14:val="solid"/>
            <w14:bevel/>
          </w14:textOutline>
        </w:rPr>
      </w:pPr>
      <w:bookmarkStart w:id="4" w:name="_Toc12434"/>
      <w:bookmarkStart w:id="5" w:name="_Toc18663"/>
      <w:bookmarkStart w:id="6" w:name="_Toc16498"/>
      <w:bookmarkStart w:id="7" w:name="_Toc26763"/>
      <w:r>
        <w:rPr>
          <w:rFonts w:hint="eastAsia" w:ascii="黑体" w:hAnsi="黑体" w:eastAsia="黑体" w:cs="黑体"/>
          <w:snapToGrid w:val="0"/>
          <w:color w:val="auto"/>
          <w:spacing w:val="12"/>
          <w:kern w:val="0"/>
          <w:position w:val="4"/>
          <w:sz w:val="31"/>
          <w:szCs w:val="31"/>
          <w:highlight w:val="none"/>
          <w:lang w:eastAsia="zh-CN"/>
          <w14:textOutline w14:w="5793" w14:cap="sq" w14:cmpd="sng">
            <w14:solidFill>
              <w14:srgbClr w14:val="000000"/>
            </w14:solidFill>
            <w14:prstDash w14:val="solid"/>
            <w14:bevel/>
          </w14:textOutline>
        </w:rPr>
        <w:t>一、</w:t>
      </w:r>
      <w:r>
        <w:rPr>
          <w:rFonts w:hint="eastAsia" w:ascii="黑体" w:hAnsi="黑体" w:eastAsia="黑体" w:cs="黑体"/>
          <w:snapToGrid w:val="0"/>
          <w:color w:val="auto"/>
          <w:spacing w:val="12"/>
          <w:kern w:val="0"/>
          <w:position w:val="4"/>
          <w:sz w:val="31"/>
          <w:szCs w:val="31"/>
          <w:highlight w:val="none"/>
          <w14:textOutline w14:w="5793" w14:cap="sq" w14:cmpd="sng">
            <w14:solidFill>
              <w14:srgbClr w14:val="000000"/>
            </w14:solidFill>
            <w14:prstDash w14:val="solid"/>
            <w14:bevel/>
          </w14:textOutline>
        </w:rPr>
        <w:fldChar w:fldCharType="begin"/>
      </w:r>
      <w:r>
        <w:rPr>
          <w:rFonts w:hint="eastAsia" w:ascii="黑体" w:hAnsi="黑体" w:eastAsia="黑体" w:cs="黑体"/>
          <w:snapToGrid w:val="0"/>
          <w:color w:val="auto"/>
          <w:spacing w:val="12"/>
          <w:kern w:val="0"/>
          <w:position w:val="4"/>
          <w:sz w:val="31"/>
          <w:szCs w:val="31"/>
          <w:highlight w:val="none"/>
          <w14:textOutline w14:w="5793" w14:cap="sq" w14:cmpd="sng">
            <w14:solidFill>
              <w14:srgbClr w14:val="000000"/>
            </w14:solidFill>
            <w14:prstDash w14:val="solid"/>
            <w14:bevel/>
          </w14:textOutline>
        </w:rPr>
        <w:instrText xml:space="preserve"> HYPERLINK \l _Toc21277 </w:instrText>
      </w:r>
      <w:r>
        <w:rPr>
          <w:rFonts w:hint="eastAsia" w:ascii="黑体" w:hAnsi="黑体" w:eastAsia="黑体" w:cs="黑体"/>
          <w:snapToGrid w:val="0"/>
          <w:color w:val="auto"/>
          <w:spacing w:val="12"/>
          <w:kern w:val="0"/>
          <w:position w:val="4"/>
          <w:sz w:val="31"/>
          <w:szCs w:val="31"/>
          <w:highlight w:val="none"/>
          <w14:textOutline w14:w="5793" w14:cap="sq" w14:cmpd="sng">
            <w14:solidFill>
              <w14:srgbClr w14:val="000000"/>
            </w14:solidFill>
            <w14:prstDash w14:val="solid"/>
            <w14:bevel/>
          </w14:textOutline>
        </w:rPr>
        <w:fldChar w:fldCharType="separate"/>
      </w:r>
      <w:r>
        <w:rPr>
          <w:rFonts w:hint="eastAsia" w:ascii="黑体" w:hAnsi="黑体" w:eastAsia="黑体" w:cs="黑体"/>
          <w:snapToGrid w:val="0"/>
          <w:color w:val="auto"/>
          <w:spacing w:val="12"/>
          <w:kern w:val="0"/>
          <w:position w:val="4"/>
          <w:sz w:val="31"/>
          <w:szCs w:val="31"/>
          <w:highlight w:val="none"/>
          <w:lang w:eastAsia="zh-CN"/>
          <w14:textOutline w14:w="5793" w14:cap="sq" w14:cmpd="sng">
            <w14:solidFill>
              <w14:srgbClr w14:val="000000"/>
            </w14:solidFill>
            <w14:prstDash w14:val="solid"/>
            <w14:bevel/>
          </w14:textOutline>
        </w:rPr>
        <w:t>水生态环境保护基本形势</w:t>
      </w:r>
      <w:r>
        <w:rPr>
          <w:rFonts w:hint="eastAsia" w:ascii="黑体" w:hAnsi="黑体" w:eastAsia="黑体" w:cs="黑体"/>
          <w:snapToGrid w:val="0"/>
          <w:color w:val="auto"/>
          <w:spacing w:val="12"/>
          <w:kern w:val="0"/>
          <w:position w:val="4"/>
          <w:sz w:val="31"/>
          <w:szCs w:val="31"/>
          <w:highlight w:val="none"/>
          <w14:textOutline w14:w="5793" w14:cap="sq" w14:cmpd="sng">
            <w14:solidFill>
              <w14:srgbClr w14:val="000000"/>
            </w14:solidFill>
            <w14:prstDash w14:val="solid"/>
            <w14:bevel/>
          </w14:textOutline>
        </w:rPr>
        <w:fldChar w:fldCharType="end"/>
      </w:r>
      <w:bookmarkEnd w:id="4"/>
      <w:bookmarkEnd w:id="5"/>
      <w:bookmarkEnd w:id="6"/>
      <w:bookmarkEnd w:id="7"/>
    </w:p>
    <w:p>
      <w:pPr>
        <w:keepNext w:val="0"/>
        <w:widowControl/>
        <w:kinsoku w:val="0"/>
        <w:autoSpaceDE w:val="0"/>
        <w:autoSpaceDN w:val="0"/>
        <w:spacing w:before="146" w:line="360" w:lineRule="auto"/>
        <w:ind w:left="692" w:firstLine="0" w:firstLineChars="0"/>
        <w:jc w:val="left"/>
        <w:textAlignment w:val="baseline"/>
        <w:outlineLvl w:val="1"/>
        <w:rPr>
          <w:rFonts w:hint="eastAsia" w:ascii="楷体" w:hAnsi="楷体" w:eastAsia="楷体" w:cs="楷体"/>
          <w:snapToGrid w:val="0"/>
          <w:color w:val="auto"/>
          <w:spacing w:val="25"/>
          <w:kern w:val="0"/>
          <w:sz w:val="32"/>
          <w:szCs w:val="32"/>
          <w:highlight w:val="none"/>
          <w:lang w:val="en-US" w:eastAsia="zh-CN"/>
          <w14:textOutline w14:w="5793" w14:cap="sq" w14:cmpd="sng">
            <w14:solidFill>
              <w14:srgbClr w14:val="000000"/>
            </w14:solidFill>
            <w14:prstDash w14:val="solid"/>
            <w14:bevel/>
          </w14:textOutline>
        </w:rPr>
      </w:pPr>
      <w:bookmarkStart w:id="8" w:name="_Toc26541"/>
      <w:bookmarkStart w:id="9" w:name="_Toc12270"/>
      <w:bookmarkStart w:id="10" w:name="_Toc22415"/>
      <w:bookmarkStart w:id="11" w:name="_Toc15260"/>
      <w:r>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t>（一）区域概况</w:t>
      </w:r>
      <w:bookmarkEnd w:id="8"/>
      <w:bookmarkEnd w:id="9"/>
      <w:bookmarkEnd w:id="10"/>
      <w:bookmarkEnd w:id="11"/>
    </w:p>
    <w:p>
      <w:pPr>
        <w:spacing w:before="266" w:line="360" w:lineRule="auto"/>
        <w:outlineLvl w:val="2"/>
        <w:rPr>
          <w:rFonts w:hint="default" w:ascii="Times New Roman" w:hAnsi="Times New Roman" w:eastAsia="仿宋" w:cs="Times New Roman"/>
          <w:color w:val="auto"/>
          <w:sz w:val="32"/>
          <w:szCs w:val="32"/>
          <w:highlight w:val="none"/>
        </w:rPr>
      </w:pPr>
      <w:bookmarkStart w:id="12" w:name="_Toc9063"/>
      <w:r>
        <w:rPr>
          <w:rFonts w:hint="default" w:ascii="Times New Roman" w:hAnsi="Times New Roman" w:eastAsia="仿宋" w:cs="Times New Roman"/>
          <w:b/>
          <w:bCs/>
          <w:color w:val="auto"/>
          <w:spacing w:val="5"/>
          <w:sz w:val="32"/>
          <w:szCs w:val="32"/>
          <w:highlight w:val="none"/>
        </w:rPr>
        <w:t>1</w:t>
      </w:r>
      <w:r>
        <w:rPr>
          <w:rFonts w:hint="default" w:ascii="Times New Roman" w:hAnsi="Times New Roman" w:eastAsia="仿宋" w:cs="Times New Roman"/>
          <w:b/>
          <w:bCs/>
          <w:color w:val="auto"/>
          <w:spacing w:val="4"/>
          <w:sz w:val="32"/>
          <w:szCs w:val="32"/>
          <w:highlight w:val="none"/>
        </w:rPr>
        <w:t>.</w:t>
      </w:r>
      <w:r>
        <w:rPr>
          <w:rFonts w:hint="default" w:ascii="Times New Roman" w:hAnsi="Times New Roman" w:eastAsia="仿宋" w:cs="Times New Roman"/>
          <w:color w:val="auto"/>
          <w:spacing w:val="4"/>
          <w:sz w:val="32"/>
          <w:szCs w:val="32"/>
          <w:highlight w:val="none"/>
          <w14:textOutline w14:w="5793" w14:cap="sq" w14:cmpd="sng">
            <w14:solidFill>
              <w14:srgbClr w14:val="000000"/>
            </w14:solidFill>
            <w14:prstDash w14:val="solid"/>
            <w14:bevel/>
          </w14:textOutline>
        </w:rPr>
        <w:t>地理位置</w:t>
      </w:r>
      <w:bookmarkEnd w:id="12"/>
    </w:p>
    <w:p>
      <w:pPr>
        <w:spacing w:line="360" w:lineRule="auto"/>
        <w:ind w:firstLine="640" w:firstLineChars="200"/>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策勒县位于昆仑山北麓，塔里木盆地边缘，地处东经 80°03′～82°10′，北纬 35°18′～39°30′。西邻洛浦县，东与于田相邻。南靠昆仑山，北伸延入塔克拉玛干大沙漠，全县南北长约468km，东西宽为35-121km，总面积3.1</w:t>
      </w:r>
      <w:r>
        <w:rPr>
          <w:rFonts w:hint="eastAsia" w:ascii="仿宋_GB2312" w:hAnsi="仿宋_GB2312" w:eastAsia="仿宋_GB2312" w:cs="仿宋_GB2312"/>
          <w:color w:val="auto"/>
          <w:sz w:val="32"/>
          <w:szCs w:val="32"/>
          <w:highlight w:val="none"/>
          <w:lang w:val="en-US" w:eastAsia="zh-CN"/>
        </w:rPr>
        <w:t>6</w:t>
      </w:r>
      <w:r>
        <w:rPr>
          <w:rFonts w:hint="default" w:ascii="仿宋_GB2312" w:hAnsi="仿宋_GB2312" w:eastAsia="仿宋_GB2312" w:cs="仿宋_GB2312"/>
          <w:color w:val="auto"/>
          <w:sz w:val="32"/>
          <w:szCs w:val="32"/>
          <w:highlight w:val="none"/>
          <w:lang w:val="en-US" w:eastAsia="zh-CN"/>
        </w:rPr>
        <w:t>万k</w:t>
      </w:r>
      <w:r>
        <w:rPr>
          <w:rFonts w:hint="default" w:ascii="仿宋_GB2312" w:hAnsi="仿宋_GB2312" w:eastAsia="仿宋_GB2312" w:cs="仿宋_GB2312"/>
          <w:color w:val="auto"/>
          <w:sz w:val="32"/>
          <w:szCs w:val="32"/>
          <w:highlight w:val="none"/>
          <w:vertAlign w:val="baseline"/>
          <w:lang w:val="en-US" w:eastAsia="zh-CN"/>
        </w:rPr>
        <w:t>m</w:t>
      </w:r>
      <w:r>
        <w:rPr>
          <w:rFonts w:hint="default" w:ascii="仿宋_GB2312" w:hAnsi="仿宋_GB2312" w:eastAsia="仿宋_GB2312" w:cs="仿宋_GB2312"/>
          <w:color w:val="auto"/>
          <w:sz w:val="32"/>
          <w:szCs w:val="32"/>
          <w:highlight w:val="none"/>
          <w:vertAlign w:val="superscript"/>
          <w:lang w:val="en-US" w:eastAsia="zh-CN"/>
        </w:rPr>
        <w:t>2</w:t>
      </w:r>
      <w:r>
        <w:rPr>
          <w:rFonts w:hint="default" w:ascii="仿宋_GB2312" w:hAnsi="仿宋_GB2312" w:eastAsia="仿宋_GB2312" w:cs="仿宋_GB2312"/>
          <w:color w:val="auto"/>
          <w:sz w:val="32"/>
          <w:szCs w:val="32"/>
          <w:highlight w:val="none"/>
          <w:lang w:val="en-US" w:eastAsia="zh-CN"/>
        </w:rPr>
        <w:t>。</w:t>
      </w:r>
    </w:p>
    <w:p>
      <w:pPr>
        <w:spacing w:before="266" w:line="360" w:lineRule="auto"/>
        <w:outlineLvl w:val="2"/>
        <w:rPr>
          <w:rFonts w:hint="default" w:ascii="Times New Roman" w:hAnsi="Times New Roman" w:eastAsia="仿宋" w:cs="Times New Roman"/>
          <w:b/>
          <w:bCs/>
          <w:color w:val="auto"/>
          <w:spacing w:val="5"/>
          <w:sz w:val="32"/>
          <w:szCs w:val="32"/>
          <w:highlight w:val="none"/>
        </w:rPr>
      </w:pPr>
      <w:bookmarkStart w:id="13" w:name="_Toc10563"/>
      <w:r>
        <w:rPr>
          <w:rFonts w:hint="default" w:ascii="Times New Roman" w:hAnsi="Times New Roman" w:eastAsia="仿宋" w:cs="Times New Roman"/>
          <w:b/>
          <w:bCs/>
          <w:color w:val="auto"/>
          <w:spacing w:val="5"/>
          <w:sz w:val="32"/>
          <w:szCs w:val="32"/>
          <w:highlight w:val="none"/>
          <w:lang w:val="en-US" w:eastAsia="zh-CN"/>
        </w:rPr>
        <w:t>2.</w:t>
      </w:r>
      <w:r>
        <w:rPr>
          <w:rFonts w:hint="default" w:ascii="Times New Roman" w:hAnsi="Times New Roman" w:eastAsia="仿宋" w:cs="Times New Roman"/>
          <w:b/>
          <w:bCs/>
          <w:color w:val="auto"/>
          <w:spacing w:val="5"/>
          <w:sz w:val="32"/>
          <w:szCs w:val="32"/>
          <w:highlight w:val="none"/>
        </w:rPr>
        <w:t>地形地貌</w:t>
      </w:r>
      <w:bookmarkEnd w:id="13"/>
    </w:p>
    <w:p>
      <w:pPr>
        <w:spacing w:line="360" w:lineRule="auto"/>
        <w:ind w:firstLine="640" w:firstLineChars="200"/>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策勒县地形南高北低，全县分平原区和山区两大片，各有四个乡镇。平原三乡一镇为农业区，山区四乡为牧业区。自山麓向北，戈壁横布，各河流冲积扇平原绿洲继续分布，扇缘连接塔克拉玛干沙漠直至塔里木盆地中心，地貌单元可分为：</w:t>
      </w:r>
    </w:p>
    <w:p>
      <w:pPr>
        <w:spacing w:line="360" w:lineRule="auto"/>
        <w:ind w:firstLine="640" w:firstLineChars="200"/>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 xml:space="preserve">（1）最高山带：海拔5200～5500m，是现代冰川和永久积雪带，多由坚硬的变质岩、花岗岩等古老岩石组成，山势雄伟。 </w:t>
      </w:r>
    </w:p>
    <w:p>
      <w:pPr>
        <w:spacing w:line="360" w:lineRule="auto"/>
        <w:ind w:firstLine="640" w:firstLineChars="200"/>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 xml:space="preserve">（2）高山带：海拔 4200～5200m，一般为裸地。有大量古代冰川遗迹。如策勒亚门的古冰碛。 </w:t>
      </w:r>
    </w:p>
    <w:p>
      <w:pPr>
        <w:spacing w:line="360" w:lineRule="auto"/>
        <w:ind w:firstLine="640" w:firstLineChars="200"/>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 xml:space="preserve">（3）亚高山带：海拔3400～4200m，有较深厚土层，山峰母岩裸露，岩壁陡峭，山坡有明显的侵蚀切割，山势起伏大，一般坡度20～38度。 </w:t>
      </w:r>
    </w:p>
    <w:p>
      <w:pPr>
        <w:spacing w:line="360" w:lineRule="auto"/>
        <w:ind w:firstLine="640" w:firstLineChars="200"/>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 xml:space="preserve">（4）中山带：海拔3000～3400m，山势起伏较大，山峰明显，但山顶轮廓浑园具有准平原地貌，复有很厚的黄土发育形成的草旬草原土类型。分布着辽阔的优良草场，是和田地区重要牧业基地。 </w:t>
      </w:r>
    </w:p>
    <w:p>
      <w:pPr>
        <w:spacing w:line="360" w:lineRule="auto"/>
        <w:ind w:firstLine="640" w:firstLineChars="200"/>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 xml:space="preserve">（5）低山带：海拔2200～3000m，山势平缓，覆盖土层很厚，大量堆积着昆仑黄土，在河流沿岸阶地上分布着农田，是农牧结合区。 </w:t>
      </w:r>
    </w:p>
    <w:p>
      <w:pPr>
        <w:spacing w:line="360" w:lineRule="auto"/>
        <w:ind w:firstLine="640" w:firstLineChars="200"/>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（6）山麓倾斜平原：海拔1250～2200m。海拔1700～2200m为粗沙及砾石覆盖的戈壁，着生稀疏超旱植被，海拔 1450～1700m为裸的粗砾戈壁，海拔1250～1450m，古老绿洲分布区，长期灌溉淤积，土壤不断熟化。</w:t>
      </w:r>
    </w:p>
    <w:p>
      <w:pPr>
        <w:spacing w:line="360" w:lineRule="auto"/>
        <w:ind w:firstLine="640" w:firstLineChars="200"/>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（7）沙漠区：海拔1250m以下的北部地区接塔克拉玛干沙漠腹地，着生耐旱植被。</w:t>
      </w:r>
    </w:p>
    <w:p>
      <w:pPr>
        <w:spacing w:before="266" w:line="360" w:lineRule="auto"/>
        <w:outlineLvl w:val="2"/>
        <w:rPr>
          <w:rFonts w:hint="eastAsia" w:ascii="Times New Roman" w:hAnsi="Times New Roman" w:eastAsia="仿宋" w:cs="Times New Roman"/>
          <w:b/>
          <w:bCs/>
          <w:color w:val="auto"/>
          <w:spacing w:val="5"/>
          <w:sz w:val="32"/>
          <w:szCs w:val="32"/>
          <w:highlight w:val="none"/>
          <w:lang w:val="en-US" w:eastAsia="zh-CN"/>
        </w:rPr>
      </w:pPr>
      <w:bookmarkStart w:id="14" w:name="_Toc10506"/>
      <w:r>
        <w:rPr>
          <w:rFonts w:hint="eastAsia" w:ascii="Times New Roman" w:hAnsi="Times New Roman" w:eastAsia="仿宋" w:cs="Times New Roman"/>
          <w:b/>
          <w:bCs/>
          <w:color w:val="auto"/>
          <w:spacing w:val="5"/>
          <w:sz w:val="32"/>
          <w:szCs w:val="32"/>
          <w:highlight w:val="none"/>
          <w:lang w:val="en-US" w:eastAsia="zh-CN"/>
        </w:rPr>
        <w:t>3.气象气候</w:t>
      </w:r>
      <w:bookmarkEnd w:id="14"/>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 xml:space="preserve">策勒县属暖温带内陆干旱行沙漠气候，气候干燥，昼夜温差大，年平均气温11.9ºC，极端最高气温40.1 ºC，极端最低气温-23.9 ºC，无霜期约200天。主导风向为西风，风沙大，光热资源充足，日照时间长，四季分明，降水量小，蒸发量大，无霜期长。 </w:t>
      </w:r>
    </w:p>
    <w:p>
      <w:pPr>
        <w:spacing w:before="266" w:line="360" w:lineRule="auto"/>
        <w:outlineLvl w:val="2"/>
        <w:rPr>
          <w:rFonts w:hint="eastAsia" w:ascii="Times New Roman" w:hAnsi="Times New Roman" w:eastAsia="仿宋" w:cs="Times New Roman"/>
          <w:b/>
          <w:bCs/>
          <w:color w:val="auto"/>
          <w:spacing w:val="5"/>
          <w:sz w:val="32"/>
          <w:szCs w:val="32"/>
          <w:highlight w:val="none"/>
          <w:lang w:val="en-US" w:eastAsia="zh-CN"/>
        </w:rPr>
      </w:pPr>
      <w:bookmarkStart w:id="15" w:name="_Toc7953"/>
      <w:bookmarkStart w:id="16" w:name="_Toc31140"/>
      <w:r>
        <w:rPr>
          <w:rFonts w:hint="eastAsia" w:ascii="Times New Roman" w:hAnsi="Times New Roman" w:eastAsia="仿宋" w:cs="Times New Roman"/>
          <w:b/>
          <w:bCs/>
          <w:color w:val="auto"/>
          <w:spacing w:val="5"/>
          <w:sz w:val="32"/>
          <w:szCs w:val="32"/>
          <w:highlight w:val="none"/>
          <w:lang w:val="en-US" w:eastAsia="zh-CN"/>
        </w:rPr>
        <w:t>4.河流水系概况</w:t>
      </w:r>
      <w:bookmarkEnd w:id="15"/>
      <w:bookmarkEnd w:id="16"/>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策勒县境内河流发源于昆仑山北坡，泉水主要出露于冲洪积砾质平原和细土平原结合部，自西向东发育有9条大小河流，11条泉水沟。</w:t>
      </w:r>
      <w:r>
        <w:rPr>
          <w:rFonts w:hint="eastAsia" w:ascii="仿宋_GB2312" w:hAnsi="仿宋_GB2312" w:eastAsia="仿宋_GB2312" w:cs="仿宋_GB2312"/>
          <w:color w:val="auto"/>
          <w:sz w:val="32"/>
          <w:szCs w:val="32"/>
          <w:highlight w:val="none"/>
          <w:lang w:val="en-US" w:eastAsia="zh-CN"/>
        </w:rPr>
        <w:t>策勒县境内自西向东主要8条河流为策勒河、恰哈河、乌鲁克萨依河、奴尔河、萨依巴格河、布藏河、阿克萨音河、卡尔苏河。其中年径流量大于1亿且小于10亿方的河流4条：策勒河、恰哈河、乌鲁克萨依河、奴尔河，其余4条河流年径流量均小于1亿。</w:t>
      </w:r>
    </w:p>
    <w:p>
      <w:pPr>
        <w:pStyle w:val="20"/>
        <w:ind w:left="560" w:leftChars="200" w:firstLine="442" w:firstLineChars="200"/>
        <w:rPr>
          <w:rFonts w:hint="default"/>
          <w:color w:val="auto"/>
          <w:highlight w:val="none"/>
          <w:lang w:val="en-US" w:eastAsia="zh-CN"/>
        </w:rPr>
      </w:pPr>
      <w:r>
        <w:rPr>
          <w:rFonts w:hint="eastAsia" w:ascii="Times New Roman" w:hAnsi="Times New Roman" w:cs="Times New Roman"/>
          <w:b/>
          <w:bCs/>
          <w:color w:val="auto"/>
          <w:sz w:val="22"/>
          <w:szCs w:val="22"/>
          <w:highlight w:val="none"/>
          <w:lang w:val="en-US" w:eastAsia="zh-CN"/>
        </w:rPr>
        <w:t xml:space="preserve">表1.1      </w:t>
      </w:r>
      <w:r>
        <w:rPr>
          <w:rFonts w:hint="eastAsia" w:ascii="仿宋_GB2312" w:hAnsi="仿宋_GB2312" w:eastAsia="仿宋_GB2312" w:cs="仿宋_GB2312"/>
          <w:color w:val="auto"/>
          <w:sz w:val="28"/>
          <w:szCs w:val="28"/>
          <w:highlight w:val="none"/>
          <w:lang w:val="en-US" w:eastAsia="zh-CN"/>
        </w:rPr>
        <w:t xml:space="preserve">  </w:t>
      </w:r>
      <w:r>
        <w:rPr>
          <w:rFonts w:hint="eastAsia"/>
          <w:b/>
          <w:bCs/>
          <w:color w:val="auto"/>
          <w:sz w:val="22"/>
          <w:szCs w:val="22"/>
          <w:highlight w:val="none"/>
        </w:rPr>
        <w:t>流域及控制单元划分情况表</w:t>
      </w:r>
    </w:p>
    <w:tbl>
      <w:tblPr>
        <w:tblStyle w:val="26"/>
        <w:tblW w:w="8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5"/>
        <w:gridCol w:w="1164"/>
        <w:gridCol w:w="1650"/>
        <w:gridCol w:w="1714"/>
        <w:gridCol w:w="1169"/>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205" w:type="dxa"/>
            <w:shd w:val="clear" w:color="auto" w:fill="auto"/>
            <w:noWrap/>
            <w:tcMar>
              <w:top w:w="15" w:type="dxa"/>
              <w:left w:w="15" w:type="dxa"/>
              <w:right w:w="15" w:type="dxa"/>
            </w:tcMar>
            <w:vAlign w:val="center"/>
          </w:tcPr>
          <w:p>
            <w:pPr>
              <w:widowControl/>
              <w:spacing w:line="240" w:lineRule="auto"/>
              <w:ind w:firstLine="0" w:firstLineChars="0"/>
              <w:jc w:val="center"/>
              <w:rPr>
                <w:rFonts w:ascii="仿宋" w:hAnsi="仿宋" w:eastAsia="仿宋" w:cs="仿宋"/>
                <w:b/>
                <w:bCs/>
                <w:color w:val="auto"/>
                <w:kern w:val="0"/>
                <w:sz w:val="22"/>
                <w:szCs w:val="22"/>
                <w:highlight w:val="none"/>
                <w:lang w:bidi="ar"/>
              </w:rPr>
            </w:pPr>
            <w:r>
              <w:rPr>
                <w:rFonts w:hint="eastAsia" w:ascii="仿宋" w:hAnsi="仿宋" w:eastAsia="仿宋" w:cs="仿宋"/>
                <w:b/>
                <w:bCs/>
                <w:color w:val="auto"/>
                <w:kern w:val="0"/>
                <w:sz w:val="22"/>
                <w:szCs w:val="22"/>
                <w:highlight w:val="none"/>
                <w:lang w:bidi="ar"/>
              </w:rPr>
              <w:t>流域名称</w:t>
            </w:r>
          </w:p>
        </w:tc>
        <w:tc>
          <w:tcPr>
            <w:tcW w:w="1164" w:type="dxa"/>
            <w:shd w:val="clear" w:color="auto" w:fill="auto"/>
            <w:noWrap/>
            <w:tcMar>
              <w:top w:w="15" w:type="dxa"/>
              <w:left w:w="15" w:type="dxa"/>
              <w:right w:w="15" w:type="dxa"/>
            </w:tcMar>
            <w:vAlign w:val="center"/>
          </w:tcPr>
          <w:p>
            <w:pPr>
              <w:widowControl/>
              <w:spacing w:line="240" w:lineRule="auto"/>
              <w:ind w:firstLine="0" w:firstLineChars="0"/>
              <w:jc w:val="center"/>
              <w:rPr>
                <w:rFonts w:ascii="仿宋" w:hAnsi="仿宋" w:eastAsia="仿宋" w:cs="仿宋"/>
                <w:b/>
                <w:bCs/>
                <w:color w:val="auto"/>
                <w:kern w:val="0"/>
                <w:sz w:val="22"/>
                <w:szCs w:val="22"/>
                <w:highlight w:val="none"/>
                <w:lang w:bidi="ar"/>
              </w:rPr>
            </w:pPr>
            <w:r>
              <w:rPr>
                <w:rFonts w:hint="eastAsia" w:ascii="仿宋" w:hAnsi="仿宋" w:eastAsia="仿宋" w:cs="仿宋"/>
                <w:b/>
                <w:bCs/>
                <w:color w:val="auto"/>
                <w:kern w:val="0"/>
                <w:sz w:val="22"/>
                <w:szCs w:val="22"/>
                <w:highlight w:val="none"/>
                <w:lang w:bidi="ar"/>
              </w:rPr>
              <w:t>控制单元</w:t>
            </w:r>
          </w:p>
        </w:tc>
        <w:tc>
          <w:tcPr>
            <w:tcW w:w="165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b/>
                <w:bCs/>
                <w:color w:val="auto"/>
                <w:kern w:val="0"/>
                <w:sz w:val="22"/>
                <w:szCs w:val="22"/>
                <w:highlight w:val="none"/>
                <w:lang w:bidi="ar"/>
              </w:rPr>
            </w:pPr>
            <w:r>
              <w:rPr>
                <w:rFonts w:hint="eastAsia" w:ascii="仿宋" w:hAnsi="仿宋" w:eastAsia="仿宋" w:cs="仿宋"/>
                <w:b/>
                <w:bCs/>
                <w:color w:val="auto"/>
                <w:kern w:val="0"/>
                <w:sz w:val="22"/>
                <w:szCs w:val="22"/>
                <w:highlight w:val="none"/>
                <w:lang w:bidi="ar"/>
              </w:rPr>
              <w:t>主要河流</w:t>
            </w:r>
          </w:p>
        </w:tc>
        <w:tc>
          <w:tcPr>
            <w:tcW w:w="1714"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b/>
                <w:bCs/>
                <w:color w:val="auto"/>
                <w:kern w:val="0"/>
                <w:sz w:val="22"/>
                <w:szCs w:val="22"/>
                <w:highlight w:val="none"/>
                <w:lang w:bidi="ar"/>
              </w:rPr>
            </w:pPr>
            <w:r>
              <w:rPr>
                <w:rFonts w:hint="eastAsia" w:ascii="仿宋" w:hAnsi="仿宋" w:eastAsia="仿宋" w:cs="仿宋"/>
                <w:b/>
                <w:bCs/>
                <w:color w:val="auto"/>
                <w:kern w:val="0"/>
                <w:sz w:val="22"/>
                <w:szCs w:val="22"/>
                <w:highlight w:val="none"/>
                <w:lang w:bidi="ar"/>
              </w:rPr>
              <w:t>行政区划</w:t>
            </w:r>
          </w:p>
        </w:tc>
        <w:tc>
          <w:tcPr>
            <w:tcW w:w="1169"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b/>
                <w:bCs/>
                <w:color w:val="auto"/>
                <w:kern w:val="0"/>
                <w:sz w:val="22"/>
                <w:szCs w:val="22"/>
                <w:highlight w:val="none"/>
                <w:lang w:bidi="ar"/>
              </w:rPr>
            </w:pPr>
            <w:r>
              <w:rPr>
                <w:rFonts w:hint="eastAsia" w:ascii="仿宋" w:hAnsi="仿宋" w:eastAsia="仿宋" w:cs="仿宋"/>
                <w:b/>
                <w:bCs/>
                <w:color w:val="auto"/>
                <w:kern w:val="0"/>
                <w:sz w:val="22"/>
                <w:szCs w:val="22"/>
                <w:highlight w:val="none"/>
                <w:lang w:eastAsia="zh-CN" w:bidi="ar"/>
              </w:rPr>
              <w:t>区控、</w:t>
            </w:r>
            <w:r>
              <w:rPr>
                <w:rFonts w:hint="eastAsia" w:ascii="仿宋" w:hAnsi="仿宋" w:eastAsia="仿宋" w:cs="仿宋"/>
                <w:b/>
                <w:bCs/>
                <w:color w:val="auto"/>
                <w:kern w:val="0"/>
                <w:sz w:val="22"/>
                <w:szCs w:val="22"/>
                <w:highlight w:val="none"/>
                <w:lang w:bidi="ar"/>
              </w:rPr>
              <w:t>国控断面</w:t>
            </w:r>
          </w:p>
        </w:tc>
        <w:tc>
          <w:tcPr>
            <w:tcW w:w="1434"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b/>
                <w:bCs/>
                <w:color w:val="auto"/>
                <w:kern w:val="0"/>
                <w:sz w:val="22"/>
                <w:szCs w:val="22"/>
                <w:highlight w:val="none"/>
                <w:lang w:eastAsia="zh-CN" w:bidi="ar"/>
              </w:rPr>
            </w:pPr>
            <w:r>
              <w:rPr>
                <w:rFonts w:hint="eastAsia" w:ascii="仿宋" w:hAnsi="仿宋" w:eastAsia="仿宋" w:cs="仿宋"/>
                <w:b/>
                <w:bCs/>
                <w:color w:val="auto"/>
                <w:kern w:val="0"/>
                <w:sz w:val="22"/>
                <w:szCs w:val="22"/>
                <w:highlight w:val="none"/>
                <w:lang w:eastAsia="zh-CN" w:bidi="ar"/>
              </w:rPr>
              <w:t>年径流量（亿</w:t>
            </w:r>
            <w:r>
              <w:rPr>
                <w:rFonts w:hint="eastAsia" w:ascii="仿宋" w:hAnsi="仿宋" w:eastAsia="仿宋" w:cs="仿宋"/>
                <w:b/>
                <w:bCs/>
                <w:color w:val="auto"/>
                <w:kern w:val="0"/>
                <w:sz w:val="22"/>
                <w:szCs w:val="22"/>
                <w:highlight w:val="none"/>
                <w:lang w:val="en-US" w:eastAsia="zh-CN" w:bidi="ar"/>
              </w:rPr>
              <w:t>m</w:t>
            </w:r>
            <w:r>
              <w:rPr>
                <w:rFonts w:hint="eastAsia" w:ascii="仿宋" w:hAnsi="仿宋" w:eastAsia="仿宋" w:cs="仿宋"/>
                <w:b/>
                <w:bCs/>
                <w:color w:val="auto"/>
                <w:kern w:val="0"/>
                <w:sz w:val="22"/>
                <w:szCs w:val="22"/>
                <w:highlight w:val="none"/>
                <w:vertAlign w:val="superscript"/>
                <w:lang w:val="en-US" w:eastAsia="zh-CN" w:bidi="ar"/>
              </w:rPr>
              <w:t>3</w:t>
            </w:r>
            <w:r>
              <w:rPr>
                <w:rFonts w:hint="eastAsia" w:ascii="仿宋" w:hAnsi="仿宋" w:eastAsia="仿宋" w:cs="仿宋"/>
                <w:b/>
                <w:bCs/>
                <w:color w:val="auto"/>
                <w:kern w:val="0"/>
                <w:sz w:val="22"/>
                <w:szCs w:val="22"/>
                <w:highlight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205" w:type="dxa"/>
            <w:vMerge w:val="restart"/>
            <w:shd w:val="clear" w:color="auto" w:fill="auto"/>
            <w:noWrap/>
            <w:tcMar>
              <w:top w:w="15" w:type="dxa"/>
              <w:left w:w="15" w:type="dxa"/>
              <w:right w:w="15" w:type="dxa"/>
            </w:tcMar>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克里雅河诸小河流域</w:t>
            </w:r>
          </w:p>
        </w:tc>
        <w:tc>
          <w:tcPr>
            <w:tcW w:w="1164" w:type="dxa"/>
            <w:vMerge w:val="restart"/>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克里雅河策勒县控制单元</w:t>
            </w:r>
          </w:p>
        </w:tc>
        <w:tc>
          <w:tcPr>
            <w:tcW w:w="165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策勒河</w:t>
            </w:r>
          </w:p>
        </w:tc>
        <w:tc>
          <w:tcPr>
            <w:tcW w:w="1714"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b/>
                <w:bCs/>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eastAsia="zh-CN" w:bidi="ar"/>
              </w:rPr>
              <w:t>策勒镇、策勒乡、达玛沟乡、恰恰乡</w:t>
            </w:r>
          </w:p>
        </w:tc>
        <w:tc>
          <w:tcPr>
            <w:tcW w:w="1169"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无</w:t>
            </w:r>
          </w:p>
        </w:tc>
        <w:tc>
          <w:tcPr>
            <w:tcW w:w="1434"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default" w:ascii="仿宋" w:hAnsi="仿宋" w:eastAsia="仿宋" w:cs="仿宋"/>
                <w:color w:val="auto"/>
                <w:kern w:val="0"/>
                <w:sz w:val="22"/>
                <w:szCs w:val="22"/>
                <w:highlight w:val="none"/>
                <w:lang w:val="en-US" w:eastAsia="zh-CN" w:bidi="ar"/>
              </w:rPr>
              <w:t>1.459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205"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p>
        </w:tc>
        <w:tc>
          <w:tcPr>
            <w:tcW w:w="1164"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p>
        </w:tc>
        <w:tc>
          <w:tcPr>
            <w:tcW w:w="165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恰哈河</w:t>
            </w:r>
          </w:p>
        </w:tc>
        <w:tc>
          <w:tcPr>
            <w:tcW w:w="1714"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恰恰乡、达玛沟乡</w:t>
            </w:r>
          </w:p>
        </w:tc>
        <w:tc>
          <w:tcPr>
            <w:tcW w:w="1169"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无</w:t>
            </w:r>
          </w:p>
        </w:tc>
        <w:tc>
          <w:tcPr>
            <w:tcW w:w="1434"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205"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p>
        </w:tc>
        <w:tc>
          <w:tcPr>
            <w:tcW w:w="1164"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p>
        </w:tc>
        <w:tc>
          <w:tcPr>
            <w:tcW w:w="165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乌鲁克萨依河</w:t>
            </w:r>
          </w:p>
        </w:tc>
        <w:tc>
          <w:tcPr>
            <w:tcW w:w="1714"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乌鲁克萨依乡</w:t>
            </w:r>
          </w:p>
        </w:tc>
        <w:tc>
          <w:tcPr>
            <w:tcW w:w="1169"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无</w:t>
            </w:r>
          </w:p>
        </w:tc>
        <w:tc>
          <w:tcPr>
            <w:tcW w:w="1434"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1.371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205"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p>
        </w:tc>
        <w:tc>
          <w:tcPr>
            <w:tcW w:w="1164"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p>
        </w:tc>
        <w:tc>
          <w:tcPr>
            <w:tcW w:w="165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奴尔河</w:t>
            </w:r>
          </w:p>
        </w:tc>
        <w:tc>
          <w:tcPr>
            <w:tcW w:w="1714"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奴尔乡、固拉哈玛镇</w:t>
            </w:r>
          </w:p>
        </w:tc>
        <w:tc>
          <w:tcPr>
            <w:tcW w:w="1169"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无</w:t>
            </w:r>
          </w:p>
        </w:tc>
        <w:tc>
          <w:tcPr>
            <w:tcW w:w="1434"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1.835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205"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p>
        </w:tc>
        <w:tc>
          <w:tcPr>
            <w:tcW w:w="1164"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p>
        </w:tc>
        <w:tc>
          <w:tcPr>
            <w:tcW w:w="165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萨依巴格河</w:t>
            </w:r>
          </w:p>
        </w:tc>
        <w:tc>
          <w:tcPr>
            <w:tcW w:w="1714"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固拉哈玛镇</w:t>
            </w:r>
          </w:p>
        </w:tc>
        <w:tc>
          <w:tcPr>
            <w:tcW w:w="1169"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无</w:t>
            </w:r>
          </w:p>
        </w:tc>
        <w:tc>
          <w:tcPr>
            <w:tcW w:w="1434"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0.3231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205"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p>
        </w:tc>
        <w:tc>
          <w:tcPr>
            <w:tcW w:w="1164"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p>
        </w:tc>
        <w:tc>
          <w:tcPr>
            <w:tcW w:w="165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布藏河</w:t>
            </w:r>
          </w:p>
        </w:tc>
        <w:tc>
          <w:tcPr>
            <w:tcW w:w="1714"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达玛沟乡</w:t>
            </w:r>
          </w:p>
        </w:tc>
        <w:tc>
          <w:tcPr>
            <w:tcW w:w="1169"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无</w:t>
            </w:r>
          </w:p>
        </w:tc>
        <w:tc>
          <w:tcPr>
            <w:tcW w:w="1434"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205"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p>
        </w:tc>
        <w:tc>
          <w:tcPr>
            <w:tcW w:w="1164"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p>
        </w:tc>
        <w:tc>
          <w:tcPr>
            <w:tcW w:w="165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阿克萨音河</w:t>
            </w:r>
          </w:p>
        </w:tc>
        <w:tc>
          <w:tcPr>
            <w:tcW w:w="1714"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博斯坦乡</w:t>
            </w:r>
          </w:p>
        </w:tc>
        <w:tc>
          <w:tcPr>
            <w:tcW w:w="1169"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无</w:t>
            </w:r>
          </w:p>
        </w:tc>
        <w:tc>
          <w:tcPr>
            <w:tcW w:w="1434"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0.3627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205"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p>
        </w:tc>
        <w:tc>
          <w:tcPr>
            <w:tcW w:w="1164"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p>
        </w:tc>
        <w:tc>
          <w:tcPr>
            <w:tcW w:w="165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卡尔苏河</w:t>
            </w:r>
          </w:p>
        </w:tc>
        <w:tc>
          <w:tcPr>
            <w:tcW w:w="1714"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博斯坦乡</w:t>
            </w:r>
          </w:p>
        </w:tc>
        <w:tc>
          <w:tcPr>
            <w:tcW w:w="1169"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无</w:t>
            </w:r>
          </w:p>
        </w:tc>
        <w:tc>
          <w:tcPr>
            <w:tcW w:w="1434" w:type="dxa"/>
            <w:shd w:val="clear" w:color="auto" w:fill="auto"/>
            <w:noWrap/>
            <w:tcMar>
              <w:top w:w="15" w:type="dxa"/>
              <w:left w:w="15" w:type="dxa"/>
              <w:right w:w="15" w:type="dxa"/>
            </w:tcMar>
            <w:vAlign w:val="center"/>
          </w:tcPr>
          <w:p>
            <w:pPr>
              <w:widowControl/>
              <w:spacing w:line="240" w:lineRule="auto"/>
              <w:ind w:firstLine="0" w:firstLineChars="0"/>
              <w:jc w:val="center"/>
              <w:rPr>
                <w:rFonts w:hint="default"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0.132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205"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和田河流域</w:t>
            </w:r>
          </w:p>
        </w:tc>
        <w:tc>
          <w:tcPr>
            <w:tcW w:w="1164"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玉龙喀什河策勒县控制单元</w:t>
            </w:r>
          </w:p>
        </w:tc>
        <w:tc>
          <w:tcPr>
            <w:tcW w:w="165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玉龙喀什河</w:t>
            </w:r>
          </w:p>
        </w:tc>
        <w:tc>
          <w:tcPr>
            <w:tcW w:w="1714"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恰恰乡</w:t>
            </w:r>
          </w:p>
        </w:tc>
        <w:tc>
          <w:tcPr>
            <w:tcW w:w="1169" w:type="dxa"/>
            <w:shd w:val="clear" w:color="auto" w:fill="auto"/>
            <w:noWrap/>
            <w:tcMar>
              <w:top w:w="15" w:type="dxa"/>
              <w:left w:w="15" w:type="dxa"/>
              <w:right w:w="15" w:type="dxa"/>
            </w:tcMar>
            <w:vAlign w:val="center"/>
          </w:tcPr>
          <w:p>
            <w:pPr>
              <w:widowControl/>
              <w:spacing w:line="240" w:lineRule="auto"/>
              <w:ind w:firstLine="0" w:firstLineChars="0"/>
              <w:jc w:val="center"/>
              <w:rPr>
                <w:rFonts w:hint="default"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w:t>
            </w:r>
          </w:p>
        </w:tc>
        <w:tc>
          <w:tcPr>
            <w:tcW w:w="1434"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w:t>
            </w:r>
          </w:p>
        </w:tc>
      </w:tr>
    </w:tbl>
    <w:p>
      <w:pPr>
        <w:pStyle w:val="13"/>
        <w:rPr>
          <w:rFonts w:hint="eastAsia"/>
          <w:b/>
          <w:bCs/>
          <w:color w:val="auto"/>
          <w:highlight w:val="none"/>
          <w:lang w:val="en-US" w:eastAsia="zh-CN"/>
        </w:rPr>
      </w:pPr>
      <w:r>
        <w:rPr>
          <w:rFonts w:hint="eastAsia" w:ascii="仿宋" w:hAnsi="仿宋" w:eastAsia="仿宋" w:cs="仿宋"/>
          <w:b/>
          <w:bCs/>
          <w:color w:val="auto"/>
          <w:kern w:val="0"/>
          <w:sz w:val="22"/>
          <w:szCs w:val="22"/>
          <w:highlight w:val="none"/>
          <w:lang w:val="en-US" w:eastAsia="zh-CN" w:bidi="ar"/>
        </w:rPr>
        <w:t>备注：</w:t>
      </w:r>
      <w:r>
        <w:rPr>
          <w:rFonts w:hint="eastAsia" w:ascii="仿宋" w:hAnsi="仿宋" w:eastAsia="仿宋" w:cs="仿宋"/>
          <w:b/>
          <w:bCs/>
          <w:color w:val="auto"/>
          <w:kern w:val="0"/>
          <w:sz w:val="22"/>
          <w:szCs w:val="22"/>
          <w:highlight w:val="none"/>
          <w:lang w:eastAsia="zh-CN" w:bidi="ar"/>
        </w:rPr>
        <w:t>玉龙喀什河</w:t>
      </w:r>
      <w:r>
        <w:rPr>
          <w:rFonts w:hint="eastAsia" w:cs="仿宋"/>
          <w:b/>
          <w:bCs/>
          <w:color w:val="auto"/>
          <w:kern w:val="0"/>
          <w:sz w:val="22"/>
          <w:szCs w:val="22"/>
          <w:highlight w:val="none"/>
          <w:lang w:eastAsia="zh-CN" w:bidi="ar"/>
        </w:rPr>
        <w:t>属于跨县河流，水资源利用情况不在策勒县，因此在此规划中不做叙述。</w:t>
      </w:r>
    </w:p>
    <w:p>
      <w:pPr>
        <w:keepNext w:val="0"/>
        <w:ind w:firstLine="0" w:firstLineChars="0"/>
        <w:jc w:val="center"/>
        <w:rPr>
          <w:rFonts w:ascii="仿宋" w:hAnsi="仿宋" w:eastAsia="仿宋" w:cs="仿宋"/>
          <w:color w:val="auto"/>
          <w:sz w:val="30"/>
          <w:szCs w:val="30"/>
          <w:highlight w:val="none"/>
        </w:rPr>
      </w:pPr>
      <w:r>
        <w:rPr>
          <w:rFonts w:ascii="Times New Roman"/>
          <w:color w:val="auto"/>
          <w:highlight w:val="none"/>
        </w:rPr>
        <w:drawing>
          <wp:inline distT="0" distB="0" distL="114300" distR="114300">
            <wp:extent cx="5670550" cy="8040370"/>
            <wp:effectExtent l="0" t="0" r="6350" b="17780"/>
            <wp:docPr id="3" name="图片 1" descr="策勒县水系图-含县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策勒县水系图-含县界"/>
                    <pic:cNvPicPr>
                      <a:picLocks noChangeAspect="1"/>
                    </pic:cNvPicPr>
                  </pic:nvPicPr>
                  <pic:blipFill>
                    <a:blip r:embed="rId6"/>
                    <a:srcRect l="1138" t="15761" r="20514" b="3743"/>
                    <a:stretch>
                      <a:fillRect/>
                    </a:stretch>
                  </pic:blipFill>
                  <pic:spPr>
                    <a:xfrm>
                      <a:off x="0" y="0"/>
                      <a:ext cx="5670550" cy="8040370"/>
                    </a:xfrm>
                    <a:prstGeom prst="rect">
                      <a:avLst/>
                    </a:prstGeom>
                    <a:noFill/>
                    <a:ln>
                      <a:noFill/>
                    </a:ln>
                  </pic:spPr>
                </pic:pic>
              </a:graphicData>
            </a:graphic>
          </wp:inline>
        </w:drawing>
      </w:r>
    </w:p>
    <w:p>
      <w:pPr>
        <w:pStyle w:val="12"/>
        <w:keepNext w:val="0"/>
        <w:ind w:firstLine="480"/>
        <w:rPr>
          <w:rFonts w:ascii="仿宋" w:hAnsi="仿宋" w:eastAsia="仿宋" w:cs="仿宋"/>
          <w:b/>
          <w:bCs/>
          <w:color w:val="auto"/>
          <w:highlight w:val="none"/>
        </w:rPr>
      </w:pPr>
      <w:r>
        <w:rPr>
          <w:rFonts w:hint="eastAsia" w:ascii="仿宋" w:hAnsi="仿宋" w:eastAsia="仿宋" w:cs="仿宋"/>
          <w:b/>
          <w:bCs/>
          <w:color w:val="auto"/>
          <w:highlight w:val="none"/>
        </w:rPr>
        <w:t>图</w:t>
      </w:r>
      <w:r>
        <w:rPr>
          <w:rFonts w:hint="eastAsia" w:ascii="仿宋" w:hAnsi="仿宋" w:eastAsia="仿宋" w:cs="仿宋"/>
          <w:b/>
          <w:bCs/>
          <w:color w:val="auto"/>
          <w:highlight w:val="none"/>
          <w:lang w:val="en-US" w:eastAsia="zh-CN"/>
        </w:rPr>
        <w:t>1.1</w:t>
      </w:r>
      <w:r>
        <w:rPr>
          <w:rFonts w:hint="eastAsia" w:ascii="仿宋" w:hAnsi="仿宋" w:eastAsia="仿宋" w:cs="仿宋"/>
          <w:b/>
          <w:bCs/>
          <w:color w:val="auto"/>
          <w:highlight w:val="none"/>
        </w:rPr>
        <w:t xml:space="preserve"> </w:t>
      </w:r>
      <w:r>
        <w:rPr>
          <w:rFonts w:hint="eastAsia" w:ascii="仿宋" w:hAnsi="仿宋" w:eastAsia="仿宋" w:cs="仿宋"/>
          <w:b/>
          <w:bCs/>
          <w:color w:val="auto"/>
          <w:highlight w:val="none"/>
          <w:lang w:eastAsia="zh-CN"/>
        </w:rPr>
        <w:t>策勒县</w:t>
      </w:r>
      <w:r>
        <w:rPr>
          <w:rFonts w:hint="eastAsia" w:ascii="仿宋" w:hAnsi="仿宋" w:eastAsia="仿宋" w:cs="仿宋"/>
          <w:b/>
          <w:bCs/>
          <w:color w:val="auto"/>
          <w:highlight w:val="none"/>
        </w:rPr>
        <w:t>地表水系图</w:t>
      </w:r>
    </w:p>
    <w:p>
      <w:pPr>
        <w:pStyle w:val="13"/>
        <w:pageBreakBefore w:val="0"/>
        <w:widowControl w:val="0"/>
        <w:numPr>
          <w:ilvl w:val="0"/>
          <w:numId w:val="0"/>
        </w:numPr>
        <w:kinsoku/>
        <w:wordWrap/>
        <w:overflowPunct/>
        <w:topLinePunct w:val="0"/>
        <w:autoSpaceDE/>
        <w:autoSpaceDN/>
        <w:bidi w:val="0"/>
        <w:spacing w:line="560" w:lineRule="exact"/>
        <w:ind w:leftChars="0" w:firstLine="640" w:firstLineChars="200"/>
        <w:textAlignment w:val="auto"/>
        <w:rPr>
          <w:rFonts w:hint="default" w:eastAsia="仿宋_GB2312"/>
          <w:color w:val="auto"/>
          <w:sz w:val="32"/>
          <w:szCs w:val="32"/>
          <w:highlight w:val="none"/>
          <w:lang w:val="en-US" w:eastAsia="zh-CN"/>
        </w:rPr>
      </w:pPr>
      <w:r>
        <w:rPr>
          <w:rFonts w:hint="eastAsia"/>
          <w:color w:val="auto"/>
          <w:sz w:val="32"/>
          <w:szCs w:val="32"/>
          <w:highlight w:val="none"/>
          <w:lang w:eastAsia="zh-CN"/>
        </w:rPr>
        <w:t>策勒县可利用的地表水资源量主要来自于策勒县以南中昆仑山北麓的策勒河、奴尔河、恰哈河、乌鲁克萨依河等9 条河流，具体情况如下所述</w:t>
      </w:r>
      <w:r>
        <w:rPr>
          <w:rFonts w:hint="eastAsia"/>
          <w:color w:val="auto"/>
          <w:sz w:val="32"/>
          <w:szCs w:val="32"/>
          <w:highlight w:val="none"/>
          <w:lang w:val="en-US" w:eastAsia="zh-CN"/>
        </w:rPr>
        <w:t>：</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（1）策勒河：位于策勒县，发源于策勒县境内的昆仑山北坡，高山区因受高原季风和西风环流的影响，降水量在400～500mm，属雨雪混合补给型河流。河流全长134km，流域面积3284.7km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年平均径流量1.459亿立方米，下泄生态基流0.221亿立方米，可利用量1.238亿立方米</w:t>
      </w:r>
      <w:r>
        <w:rPr>
          <w:rFonts w:hint="eastAsia" w:ascii="仿宋_GB2312" w:hAnsi="仿宋_GB2312" w:eastAsia="仿宋_GB2312" w:cs="仿宋_GB2312"/>
          <w:color w:val="auto"/>
          <w:sz w:val="32"/>
          <w:szCs w:val="32"/>
          <w:highlight w:val="none"/>
          <w:lang w:val="en-US" w:eastAsia="zh-CN"/>
        </w:rPr>
        <w:t>。</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（2）恰哈河：恰哈河是策勒县境内第三条较大的河流，该河流出山口后呈南北走向，最后耗散于塔克拉玛干沙漠腹地。河流全长131km，流域面积1196.6km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，东与玉龙代里亚河相连，西与筞勒河相邻。年平均径流量1.17亿立方米，下泄生态基流0.1972亿立方米，可利用量0.9728亿立方米。</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（3）乌鲁克萨依河：该河发源于慕士山，河源海拔高程6638m。径流主要以冰雪融水组成。乌鲁克萨依总河长126.7km，流域面积2896.7km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，乌鲁克萨依河在流经乌鲁克萨依乡后有三支支流汇入，分别为玉龙代里亚河、玉龙坎代里亚河、乌坦拉克代里亚河。年平均径流量1.371亿立方米，下泄生态基流0.2742亿立方米，可利用量1.0968亿立方米。</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（4）奴尔河：发源于策勒县境内的昆仑山北坡，以冰雪融水和降水补给为主，属常年性河流。河流全长119km，集水面积1275.5km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。奴尔河年平均径流量1.835亿立方米，下泄生态基流0.2935亿立方米，可利用量1.5415亿立方米。</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（5）萨依巴格河：位于奴尔河以东，发源于昆仑山北麓，地理坐标介于东经79°37′～79°44′、北纬36°26′～36°59′之间，河流源头最高海拔高程6513m。流域总面积256.2km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，河流总长度42.9km。年平均径流量0.3231亿立方米，下泄生态基流0.0614亿立方米，可利用量0.2617亿立方米。</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（6）布藏河：布藏河位于奴尔河以东，发源于昆仑山北麓，河流源头最高海拔高程6513m。总体上的地势是南高北低。河源自南向北流，下游汇入到阿克赛音河。流域总面积745.6km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，河流总长度54.9km。平均径流量0.094亿立方米，下泄生态基流0.094亿立方米。</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（7）阿克赛音河：阿克赛音河发源于策勒县境内的昆仑山北麓，在本区域最高山峰6544m，海拔5000m 以上山区终年积雪，冰川广布，为该区域诸河流的主要发源地，总体上的地势是南高北低。阿克赛音河全长71.2km，集水面积564.2km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。年平均径流量0.3627亿立方米，下泄生态基流0.0565亿立方米，可利用量0.3062亿立方米。</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8）卡尔苏河：该河位于克里雅河以西、奴尔河以东，发源于昆仑山北麓，以冰雪融水和降水补给为主。总体上的地势是南高北低。河源自南向北流，河流自南向北流经博斯坦乡后与阿克赛音河、奴尔河汇合。流域总面积784.2k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，河流总长度91.7km。年平均径流量0.132亿立方米，下泄生态基流0.0314亿立方米。</w:t>
      </w:r>
    </w:p>
    <w:p>
      <w:pPr>
        <w:spacing w:before="266" w:line="360" w:lineRule="auto"/>
        <w:outlineLvl w:val="2"/>
        <w:rPr>
          <w:rFonts w:hint="eastAsia" w:ascii="Times New Roman" w:hAnsi="Times New Roman" w:eastAsia="仿宋" w:cs="Times New Roman"/>
          <w:b/>
          <w:bCs/>
          <w:color w:val="auto"/>
          <w:spacing w:val="5"/>
          <w:sz w:val="32"/>
          <w:szCs w:val="32"/>
          <w:highlight w:val="none"/>
          <w:lang w:val="en-US" w:eastAsia="zh-CN"/>
        </w:rPr>
      </w:pPr>
      <w:bookmarkStart w:id="17" w:name="_Toc8341"/>
      <w:r>
        <w:rPr>
          <w:rFonts w:hint="eastAsia" w:ascii="Times New Roman" w:hAnsi="Times New Roman" w:eastAsia="仿宋" w:cs="Times New Roman"/>
          <w:b/>
          <w:bCs/>
          <w:color w:val="auto"/>
          <w:spacing w:val="5"/>
          <w:sz w:val="32"/>
          <w:szCs w:val="32"/>
          <w:highlight w:val="none"/>
          <w:lang w:val="en-US" w:eastAsia="zh-CN"/>
        </w:rPr>
        <w:t>5.经济发展状况</w:t>
      </w:r>
      <w:bookmarkEnd w:id="17"/>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策勒县全县辖6乡2镇1街道，126个行政村、13个社区；4个乡位于山区。2个镇、6个乡:策勒镇、固拉哈玛镇、策勒乡、达玛沟乡、恰哈乡、乌鲁克萨依乡、奴尔乡、博斯坦乡，此外有兵团十四师一牧场。策勒县以牧业为主，全县现有耕地43.1579万亩。</w:t>
      </w:r>
    </w:p>
    <w:p>
      <w:pPr>
        <w:spacing w:line="360" w:lineRule="auto"/>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2020年</w:t>
      </w:r>
      <w:r>
        <w:rPr>
          <w:rFonts w:hint="eastAsia" w:ascii="仿宋_GB2312" w:hAnsi="仿宋_GB2312" w:eastAsia="仿宋_GB2312" w:cs="仿宋_GB2312"/>
          <w:color w:val="auto"/>
          <w:sz w:val="32"/>
          <w:szCs w:val="32"/>
          <w:highlight w:val="none"/>
        </w:rPr>
        <w:t>全</w:t>
      </w:r>
      <w:r>
        <w:rPr>
          <w:rFonts w:hint="eastAsia" w:ascii="仿宋_GB2312" w:hAnsi="仿宋_GB2312" w:eastAsia="仿宋_GB2312" w:cs="仿宋_GB2312"/>
          <w:color w:val="auto"/>
          <w:sz w:val="32"/>
          <w:szCs w:val="32"/>
          <w:highlight w:val="none"/>
          <w:lang w:eastAsia="zh-CN"/>
        </w:rPr>
        <w:t>县</w:t>
      </w:r>
      <w:r>
        <w:rPr>
          <w:rFonts w:hint="eastAsia" w:ascii="仿宋_GB2312" w:hAnsi="仿宋_GB2312" w:eastAsia="仿宋_GB2312" w:cs="仿宋_GB2312"/>
          <w:color w:val="auto"/>
          <w:sz w:val="32"/>
          <w:szCs w:val="32"/>
          <w:highlight w:val="none"/>
        </w:rPr>
        <w:t>地区生产总值（GDP）32.44亿元，按可比价格计算，比上年增长</w:t>
      </w:r>
      <w:r>
        <w:rPr>
          <w:rFonts w:hint="eastAsia" w:ascii="仿宋_GB2312" w:hAnsi="仿宋_GB2312" w:eastAsia="仿宋_GB2312" w:cs="仿宋_GB2312"/>
          <w:color w:val="auto"/>
          <w:sz w:val="32"/>
          <w:szCs w:val="32"/>
          <w:highlight w:val="none"/>
          <w:lang w:val="en-US" w:eastAsia="zh-CN"/>
        </w:rPr>
        <w:t>4.0</w:t>
      </w:r>
      <w:r>
        <w:rPr>
          <w:rFonts w:hint="eastAsia" w:ascii="仿宋_GB2312" w:hAnsi="仿宋_GB2312" w:eastAsia="仿宋_GB2312" w:cs="仿宋_GB2312"/>
          <w:color w:val="auto"/>
          <w:sz w:val="32"/>
          <w:szCs w:val="32"/>
          <w:highlight w:val="none"/>
        </w:rPr>
        <w:t>%。其中，第一产业增加值</w:t>
      </w:r>
      <w:r>
        <w:rPr>
          <w:rFonts w:hint="eastAsia" w:ascii="仿宋_GB2312" w:hAnsi="仿宋_GB2312" w:eastAsia="仿宋_GB2312" w:cs="仿宋_GB2312"/>
          <w:color w:val="auto"/>
          <w:sz w:val="32"/>
          <w:szCs w:val="32"/>
          <w:highlight w:val="none"/>
          <w:lang w:val="en-US" w:eastAsia="zh-CN"/>
        </w:rPr>
        <w:t>9.53</w:t>
      </w:r>
      <w:r>
        <w:rPr>
          <w:rFonts w:hint="eastAsia" w:ascii="仿宋_GB2312" w:hAnsi="仿宋_GB2312" w:eastAsia="仿宋_GB2312" w:cs="仿宋_GB2312"/>
          <w:color w:val="auto"/>
          <w:sz w:val="32"/>
          <w:szCs w:val="32"/>
          <w:highlight w:val="none"/>
        </w:rPr>
        <w:t>亿元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同比增长0.6%；第二产业增加值3.93亿元，同比增长7.7%；第三产业增加值18.98亿元，同比增长4.9%。三大产业占国内生产总值的比重分别为：29.4∶12.1∶58.5。</w:t>
      </w:r>
    </w:p>
    <w:p>
      <w:pPr>
        <w:keepNext w:val="0"/>
        <w:widowControl/>
        <w:kinsoku w:val="0"/>
        <w:autoSpaceDE w:val="0"/>
        <w:autoSpaceDN w:val="0"/>
        <w:spacing w:before="146" w:line="360" w:lineRule="auto"/>
        <w:ind w:left="692" w:firstLine="0" w:firstLineChars="0"/>
        <w:jc w:val="left"/>
        <w:textAlignment w:val="baseline"/>
        <w:outlineLvl w:val="1"/>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pPr>
      <w:bookmarkStart w:id="18" w:name="_Toc17642"/>
      <w:bookmarkStart w:id="19" w:name="_Toc6175"/>
      <w:bookmarkStart w:id="20" w:name="_Toc19961"/>
      <w:bookmarkStart w:id="21" w:name="_Toc22376"/>
      <w:r>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t>（二）</w:t>
      </w:r>
      <w:r>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fldChar w:fldCharType="begin"/>
      </w:r>
      <w:r>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instrText xml:space="preserve"> HYPERLINK \l _Toc19371 </w:instrText>
      </w:r>
      <w:r>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fldChar w:fldCharType="separate"/>
      </w:r>
      <w:r>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t>水生态环境状况</w:t>
      </w:r>
      <w:r>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fldChar w:fldCharType="end"/>
      </w:r>
      <w:bookmarkEnd w:id="18"/>
      <w:bookmarkEnd w:id="19"/>
      <w:bookmarkEnd w:id="20"/>
      <w:bookmarkEnd w:id="21"/>
    </w:p>
    <w:p>
      <w:pPr>
        <w:spacing w:before="266" w:line="360" w:lineRule="auto"/>
        <w:outlineLvl w:val="2"/>
        <w:rPr>
          <w:rFonts w:hint="eastAsia" w:ascii="Times New Roman" w:hAnsi="Times New Roman" w:eastAsia="仿宋" w:cs="Times New Roman"/>
          <w:b/>
          <w:bCs/>
          <w:color w:val="auto"/>
          <w:spacing w:val="5"/>
          <w:sz w:val="32"/>
          <w:szCs w:val="32"/>
          <w:highlight w:val="none"/>
        </w:rPr>
      </w:pPr>
      <w:bookmarkStart w:id="22" w:name="_Toc5769"/>
      <w:r>
        <w:rPr>
          <w:rFonts w:hint="eastAsia" w:ascii="Times New Roman" w:hAnsi="Times New Roman" w:eastAsia="仿宋" w:cs="Times New Roman"/>
          <w:b/>
          <w:bCs/>
          <w:color w:val="auto"/>
          <w:spacing w:val="5"/>
          <w:sz w:val="32"/>
          <w:szCs w:val="32"/>
          <w:highlight w:val="none"/>
          <w:lang w:val="en-US" w:eastAsia="zh-CN"/>
        </w:rPr>
        <w:t>1.</w:t>
      </w:r>
      <w:r>
        <w:rPr>
          <w:rFonts w:hint="eastAsia" w:ascii="Times New Roman" w:hAnsi="Times New Roman" w:eastAsia="仿宋" w:cs="Times New Roman"/>
          <w:b/>
          <w:bCs/>
          <w:color w:val="auto"/>
          <w:spacing w:val="5"/>
          <w:sz w:val="32"/>
          <w:szCs w:val="32"/>
          <w:highlight w:val="none"/>
        </w:rPr>
        <w:fldChar w:fldCharType="begin"/>
      </w:r>
      <w:r>
        <w:rPr>
          <w:rFonts w:hint="eastAsia" w:ascii="Times New Roman" w:hAnsi="Times New Roman" w:eastAsia="仿宋" w:cs="Times New Roman"/>
          <w:b/>
          <w:bCs/>
          <w:color w:val="auto"/>
          <w:spacing w:val="5"/>
          <w:sz w:val="32"/>
          <w:szCs w:val="32"/>
          <w:highlight w:val="none"/>
        </w:rPr>
        <w:instrText xml:space="preserve"> HYPERLINK \l _Toc19345 </w:instrText>
      </w:r>
      <w:r>
        <w:rPr>
          <w:rFonts w:hint="eastAsia" w:ascii="Times New Roman" w:hAnsi="Times New Roman" w:eastAsia="仿宋" w:cs="Times New Roman"/>
          <w:b/>
          <w:bCs/>
          <w:color w:val="auto"/>
          <w:spacing w:val="5"/>
          <w:sz w:val="32"/>
          <w:szCs w:val="32"/>
          <w:highlight w:val="none"/>
        </w:rPr>
        <w:fldChar w:fldCharType="separate"/>
      </w:r>
      <w:r>
        <w:rPr>
          <w:rFonts w:hint="eastAsia" w:ascii="Times New Roman" w:hAnsi="Times New Roman" w:eastAsia="仿宋" w:cs="Times New Roman"/>
          <w:b/>
          <w:bCs/>
          <w:color w:val="auto"/>
          <w:spacing w:val="5"/>
          <w:sz w:val="32"/>
          <w:szCs w:val="32"/>
          <w:highlight w:val="none"/>
        </w:rPr>
        <w:t>水环境质量状况</w:t>
      </w:r>
      <w:r>
        <w:rPr>
          <w:rFonts w:hint="eastAsia" w:ascii="Times New Roman" w:hAnsi="Times New Roman" w:eastAsia="仿宋" w:cs="Times New Roman"/>
          <w:b/>
          <w:bCs/>
          <w:color w:val="auto"/>
          <w:spacing w:val="5"/>
          <w:sz w:val="32"/>
          <w:szCs w:val="32"/>
          <w:highlight w:val="none"/>
        </w:rPr>
        <w:fldChar w:fldCharType="end"/>
      </w:r>
      <w:bookmarkEnd w:id="22"/>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根据“十三五”期间，策勒县主要8条河流，属于克里雅河诸小河流域，无国控断面、区控断面（策勒县河流水系断面分布图）。</w:t>
      </w:r>
    </w:p>
    <w:p>
      <w:pPr>
        <w:pStyle w:val="13"/>
        <w:ind w:left="0" w:leftChars="0" w:firstLine="0" w:firstLineChars="0"/>
        <w:rPr>
          <w:rFonts w:hint="eastAsia"/>
          <w:color w:val="auto"/>
          <w:highlight w:val="none"/>
          <w:lang w:val="en-US" w:eastAsia="zh-CN"/>
        </w:rPr>
      </w:pPr>
      <w:r>
        <w:rPr>
          <w:rFonts w:hint="eastAsia"/>
          <w:color w:val="auto"/>
          <w:highlight w:val="none"/>
          <w:lang w:val="en-US" w:eastAsia="zh-CN"/>
        </w:rPr>
        <w:drawing>
          <wp:inline distT="0" distB="0" distL="114300" distR="114300">
            <wp:extent cx="5266055" cy="3335020"/>
            <wp:effectExtent l="0" t="0" r="10795" b="17780"/>
            <wp:docPr id="6" name="图片 6" descr="170297506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02975068344"/>
                    <pic:cNvPicPr>
                      <a:picLocks noChangeAspect="1"/>
                    </pic:cNvPicPr>
                  </pic:nvPicPr>
                  <pic:blipFill>
                    <a:blip r:embed="rId7"/>
                    <a:stretch>
                      <a:fillRect/>
                    </a:stretch>
                  </pic:blipFill>
                  <pic:spPr>
                    <a:xfrm>
                      <a:off x="0" y="0"/>
                      <a:ext cx="5266055" cy="3335020"/>
                    </a:xfrm>
                    <a:prstGeom prst="rect">
                      <a:avLst/>
                    </a:prstGeom>
                  </pic:spPr>
                </pic:pic>
              </a:graphicData>
            </a:graphic>
          </wp:inline>
        </w:drawing>
      </w:r>
    </w:p>
    <w:p>
      <w:pPr>
        <w:pStyle w:val="17"/>
        <w:rPr>
          <w:rFonts w:hint="eastAsia"/>
          <w:color w:val="auto"/>
          <w:sz w:val="28"/>
          <w:szCs w:val="28"/>
          <w:highlight w:val="none"/>
          <w:lang w:val="en-US" w:eastAsia="zh-CN"/>
        </w:rPr>
      </w:pPr>
      <w:r>
        <w:rPr>
          <w:rFonts w:hint="eastAsia"/>
          <w:color w:val="auto"/>
          <w:highlight w:val="none"/>
          <w:lang w:val="en-US" w:eastAsia="zh-CN"/>
        </w:rPr>
        <w:t xml:space="preserve">         </w:t>
      </w:r>
      <w:r>
        <w:rPr>
          <w:rFonts w:hint="eastAsia" w:ascii="仿宋_GB2312" w:hAnsi="仿宋_GB2312" w:eastAsia="仿宋_GB2312" w:cs="仿宋_GB2312"/>
          <w:color w:val="auto"/>
          <w:highlight w:val="none"/>
          <w:lang w:val="en-US" w:eastAsia="zh-CN"/>
        </w:rPr>
        <w:t xml:space="preserve">   </w:t>
      </w:r>
      <w:r>
        <w:rPr>
          <w:rFonts w:hint="eastAsia" w:ascii="仿宋_GB2312" w:hAnsi="仿宋_GB2312" w:eastAsia="仿宋_GB2312" w:cs="仿宋_GB2312"/>
          <w:color w:val="auto"/>
          <w:sz w:val="28"/>
          <w:szCs w:val="28"/>
          <w:highlight w:val="none"/>
          <w:lang w:val="en-US" w:eastAsia="zh-CN"/>
        </w:rPr>
        <w:t xml:space="preserve"> 图1.2策勒县水环境控制单元划分图</w:t>
      </w:r>
    </w:p>
    <w:p>
      <w:pPr>
        <w:pStyle w:val="14"/>
        <w:rPr>
          <w:rFonts w:hint="default" w:eastAsia="仿宋_GB2312"/>
          <w:color w:val="auto"/>
          <w:sz w:val="32"/>
          <w:szCs w:val="32"/>
          <w:highlight w:val="none"/>
          <w:lang w:val="en-US" w:eastAsia="zh-CN"/>
        </w:rPr>
      </w:pPr>
      <w:r>
        <w:rPr>
          <w:rFonts w:ascii="Times New Roman" w:hAnsi="Times New Roman" w:eastAsia="仿宋_GB2312"/>
          <w:color w:val="auto"/>
          <w:sz w:val="32"/>
          <w:szCs w:val="32"/>
          <w:highlight w:val="none"/>
        </w:rPr>
        <w:t>依据《中国新疆水环境功能区划（2005）》以及和田地区的实际河流水环境功能管控目标。发源于高山的水域属于特殊保护的河流源头水环境功能区，水质目标类别为Ⅰ</w:t>
      </w:r>
      <w:r>
        <w:rPr>
          <w:rFonts w:hint="eastAsia" w:ascii="Times New Roman" w:hAnsi="Times New Roman" w:eastAsia="仿宋_GB2312"/>
          <w:color w:val="auto"/>
          <w:sz w:val="32"/>
          <w:szCs w:val="32"/>
          <w:highlight w:val="none"/>
          <w:lang w:eastAsia="zh-CN"/>
        </w:rPr>
        <w:t>、</w:t>
      </w:r>
      <w:r>
        <w:rPr>
          <w:rFonts w:ascii="Times New Roman" w:hAnsi="Times New Roman" w:eastAsia="仿宋_GB2312"/>
          <w:color w:val="auto"/>
          <w:kern w:val="0"/>
          <w:sz w:val="32"/>
          <w:szCs w:val="32"/>
          <w:highlight w:val="none"/>
        </w:rPr>
        <w:t>Ⅱ</w:t>
      </w:r>
      <w:r>
        <w:rPr>
          <w:rFonts w:ascii="Times New Roman" w:hAnsi="Times New Roman" w:eastAsia="仿宋_GB2312"/>
          <w:color w:val="auto"/>
          <w:sz w:val="32"/>
          <w:szCs w:val="32"/>
          <w:highlight w:val="none"/>
        </w:rPr>
        <w:t>类。</w:t>
      </w:r>
      <w:r>
        <w:rPr>
          <w:rFonts w:hint="eastAsia" w:ascii="Times New Roman" w:hAnsi="Times New Roman" w:eastAsia="仿宋_GB2312"/>
          <w:color w:val="auto"/>
          <w:sz w:val="32"/>
          <w:szCs w:val="32"/>
          <w:highlight w:val="none"/>
          <w:lang w:eastAsia="zh-CN"/>
        </w:rPr>
        <w:t>策勒县</w:t>
      </w:r>
      <w:r>
        <w:rPr>
          <w:rFonts w:ascii="Times New Roman" w:hAnsi="Times New Roman" w:eastAsia="仿宋_GB2312"/>
          <w:color w:val="auto"/>
          <w:sz w:val="32"/>
          <w:szCs w:val="32"/>
          <w:highlight w:val="none"/>
        </w:rPr>
        <w:t>各类水环境功能区情况和功能区水质目标汇总情况具体如表</w:t>
      </w:r>
      <w:r>
        <w:rPr>
          <w:rFonts w:hint="eastAsia" w:ascii="Times New Roman" w:hAnsi="Times New Roman" w:eastAsia="仿宋_GB2312"/>
          <w:color w:val="auto"/>
          <w:sz w:val="32"/>
          <w:szCs w:val="32"/>
          <w:highlight w:val="none"/>
          <w:lang w:val="en-US" w:eastAsia="zh-CN"/>
        </w:rPr>
        <w:t>2.1</w:t>
      </w:r>
      <w:r>
        <w:rPr>
          <w:rFonts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1、2.1-2。</w:t>
      </w:r>
    </w:p>
    <w:p>
      <w:pPr>
        <w:spacing w:line="276" w:lineRule="auto"/>
        <w:jc w:val="center"/>
        <w:rPr>
          <w:rFonts w:ascii="Times New Roman" w:hAnsi="Times New Roman" w:eastAsia="仿宋_GB2312"/>
          <w:b/>
          <w:bCs/>
          <w:color w:val="auto"/>
          <w:sz w:val="36"/>
          <w:szCs w:val="36"/>
          <w:highlight w:val="none"/>
        </w:rPr>
      </w:pPr>
      <w:r>
        <w:rPr>
          <w:rFonts w:ascii="Times New Roman" w:hAnsi="Times New Roman" w:eastAsia="仿宋_GB2312"/>
          <w:b/>
          <w:bCs/>
          <w:color w:val="auto"/>
          <w:sz w:val="24"/>
          <w:szCs w:val="28"/>
          <w:highlight w:val="none"/>
        </w:rPr>
        <w:t>表</w:t>
      </w:r>
      <w:r>
        <w:rPr>
          <w:rFonts w:hint="eastAsia" w:ascii="Times New Roman" w:hAnsi="Times New Roman" w:eastAsia="仿宋_GB2312"/>
          <w:b/>
          <w:bCs/>
          <w:color w:val="auto"/>
          <w:sz w:val="24"/>
          <w:szCs w:val="28"/>
          <w:highlight w:val="none"/>
          <w:lang w:val="en-US" w:eastAsia="zh-CN"/>
        </w:rPr>
        <w:t>2.1</w:t>
      </w:r>
      <w:r>
        <w:rPr>
          <w:rFonts w:ascii="Times New Roman" w:hAnsi="Times New Roman" w:eastAsia="仿宋_GB2312"/>
          <w:b/>
          <w:bCs/>
          <w:color w:val="auto"/>
          <w:sz w:val="24"/>
          <w:szCs w:val="28"/>
          <w:highlight w:val="none"/>
        </w:rPr>
        <w:t>-</w:t>
      </w:r>
      <w:r>
        <w:rPr>
          <w:rFonts w:hint="eastAsia" w:ascii="Times New Roman" w:hAnsi="Times New Roman" w:eastAsia="仿宋_GB2312"/>
          <w:b/>
          <w:bCs/>
          <w:color w:val="auto"/>
          <w:sz w:val="24"/>
          <w:szCs w:val="28"/>
          <w:highlight w:val="none"/>
          <w:lang w:val="en-US" w:eastAsia="zh-CN"/>
        </w:rPr>
        <w:t xml:space="preserve">1  </w:t>
      </w:r>
      <w:r>
        <w:rPr>
          <w:rFonts w:hint="eastAsia" w:ascii="Times New Roman" w:hAnsi="Times New Roman" w:eastAsia="仿宋_GB2312"/>
          <w:b/>
          <w:bCs/>
          <w:color w:val="auto"/>
          <w:sz w:val="24"/>
          <w:szCs w:val="28"/>
          <w:highlight w:val="none"/>
          <w:lang w:eastAsia="zh-CN"/>
        </w:rPr>
        <w:t>策勒县</w:t>
      </w:r>
      <w:r>
        <w:rPr>
          <w:rFonts w:ascii="Times New Roman" w:hAnsi="Times New Roman" w:eastAsia="仿宋_GB2312"/>
          <w:b/>
          <w:bCs/>
          <w:color w:val="auto"/>
          <w:sz w:val="24"/>
          <w:szCs w:val="28"/>
          <w:highlight w:val="none"/>
        </w:rPr>
        <w:t>水环境功能区表</w:t>
      </w:r>
    </w:p>
    <w:tbl>
      <w:tblPr>
        <w:tblStyle w:val="26"/>
        <w:tblW w:w="8615" w:type="dxa"/>
        <w:tblInd w:w="0" w:type="dxa"/>
        <w:tblLayout w:type="fixed"/>
        <w:tblCellMar>
          <w:top w:w="0" w:type="dxa"/>
          <w:left w:w="108" w:type="dxa"/>
          <w:bottom w:w="0" w:type="dxa"/>
          <w:right w:w="108" w:type="dxa"/>
        </w:tblCellMar>
      </w:tblPr>
      <w:tblGrid>
        <w:gridCol w:w="1198"/>
        <w:gridCol w:w="964"/>
        <w:gridCol w:w="815"/>
        <w:gridCol w:w="914"/>
        <w:gridCol w:w="938"/>
        <w:gridCol w:w="938"/>
        <w:gridCol w:w="1200"/>
        <w:gridCol w:w="584"/>
        <w:gridCol w:w="1064"/>
      </w:tblGrid>
      <w:tr>
        <w:tblPrEx>
          <w:tblLayout w:type="fixed"/>
          <w:tblCellMar>
            <w:top w:w="0" w:type="dxa"/>
            <w:left w:w="108" w:type="dxa"/>
            <w:bottom w:w="0" w:type="dxa"/>
            <w:right w:w="108" w:type="dxa"/>
          </w:tblCellMar>
        </w:tblPrEx>
        <w:trPr>
          <w:trHeight w:val="1626" w:hRule="atLeast"/>
          <w:tblHeader/>
        </w:trPr>
        <w:tc>
          <w:tcPr>
            <w:tcW w:w="11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水体</w:t>
            </w:r>
          </w:p>
        </w:tc>
        <w:tc>
          <w:tcPr>
            <w:tcW w:w="96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水域</w:t>
            </w:r>
          </w:p>
        </w:tc>
        <w:tc>
          <w:tcPr>
            <w:tcW w:w="81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长度(km)/ 面积(km2)</w:t>
            </w:r>
          </w:p>
        </w:tc>
        <w:tc>
          <w:tcPr>
            <w:tcW w:w="91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控制城镇</w:t>
            </w:r>
          </w:p>
        </w:tc>
        <w:tc>
          <w:tcPr>
            <w:tcW w:w="93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现状使用功能</w:t>
            </w:r>
          </w:p>
        </w:tc>
        <w:tc>
          <w:tcPr>
            <w:tcW w:w="93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规划主导功能</w:t>
            </w:r>
          </w:p>
        </w:tc>
        <w:tc>
          <w:tcPr>
            <w:tcW w:w="12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功能区类型</w:t>
            </w:r>
          </w:p>
        </w:tc>
        <w:tc>
          <w:tcPr>
            <w:tcW w:w="58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水质目标</w:t>
            </w:r>
          </w:p>
        </w:tc>
        <w:tc>
          <w:tcPr>
            <w:tcW w:w="106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断面名称</w:t>
            </w:r>
          </w:p>
        </w:tc>
      </w:tr>
      <w:tr>
        <w:tblPrEx>
          <w:tblLayout w:type="fixed"/>
          <w:tblCellMar>
            <w:top w:w="0" w:type="dxa"/>
            <w:left w:w="108" w:type="dxa"/>
            <w:bottom w:w="0" w:type="dxa"/>
            <w:right w:w="108" w:type="dxa"/>
          </w:tblCellMar>
        </w:tblPrEx>
        <w:trPr>
          <w:trHeight w:val="548" w:hRule="atLeast"/>
        </w:trPr>
        <w:tc>
          <w:tcPr>
            <w:tcW w:w="119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阿拉克沙依</w:t>
            </w:r>
          </w:p>
        </w:tc>
        <w:tc>
          <w:tcPr>
            <w:tcW w:w="96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全河段</w:t>
            </w:r>
          </w:p>
        </w:tc>
        <w:tc>
          <w:tcPr>
            <w:tcW w:w="8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15km</w:t>
            </w:r>
          </w:p>
        </w:tc>
        <w:tc>
          <w:tcPr>
            <w:tcW w:w="9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策勒县</w:t>
            </w:r>
          </w:p>
        </w:tc>
        <w:tc>
          <w:tcPr>
            <w:tcW w:w="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源头水</w:t>
            </w:r>
          </w:p>
        </w:tc>
        <w:tc>
          <w:tcPr>
            <w:tcW w:w="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自然保护</w:t>
            </w: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自然保护区</w:t>
            </w:r>
          </w:p>
        </w:tc>
        <w:tc>
          <w:tcPr>
            <w:tcW w:w="5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I</w:t>
            </w:r>
          </w:p>
        </w:tc>
        <w:tc>
          <w:tcPr>
            <w:tcW w:w="106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同古孜洛克</w:t>
            </w:r>
          </w:p>
        </w:tc>
      </w:tr>
      <w:tr>
        <w:tblPrEx>
          <w:tblLayout w:type="fixed"/>
          <w:tblCellMar>
            <w:top w:w="0" w:type="dxa"/>
            <w:left w:w="108" w:type="dxa"/>
            <w:bottom w:w="0" w:type="dxa"/>
            <w:right w:w="108" w:type="dxa"/>
          </w:tblCellMar>
        </w:tblPrEx>
        <w:trPr>
          <w:trHeight w:val="548" w:hRule="atLeast"/>
        </w:trPr>
        <w:tc>
          <w:tcPr>
            <w:tcW w:w="119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布臧河</w:t>
            </w:r>
          </w:p>
        </w:tc>
        <w:tc>
          <w:tcPr>
            <w:tcW w:w="96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全河段</w:t>
            </w:r>
          </w:p>
        </w:tc>
        <w:tc>
          <w:tcPr>
            <w:tcW w:w="8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26km</w:t>
            </w:r>
          </w:p>
        </w:tc>
        <w:tc>
          <w:tcPr>
            <w:tcW w:w="9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策勒县</w:t>
            </w:r>
          </w:p>
        </w:tc>
        <w:tc>
          <w:tcPr>
            <w:tcW w:w="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源头水</w:t>
            </w:r>
          </w:p>
        </w:tc>
        <w:tc>
          <w:tcPr>
            <w:tcW w:w="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自然保护</w:t>
            </w: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自然保护区</w:t>
            </w:r>
          </w:p>
        </w:tc>
        <w:tc>
          <w:tcPr>
            <w:tcW w:w="5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I</w:t>
            </w:r>
          </w:p>
        </w:tc>
        <w:tc>
          <w:tcPr>
            <w:tcW w:w="106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布臧</w:t>
            </w:r>
          </w:p>
        </w:tc>
      </w:tr>
      <w:tr>
        <w:tblPrEx>
          <w:tblLayout w:type="fixed"/>
          <w:tblCellMar>
            <w:top w:w="0" w:type="dxa"/>
            <w:left w:w="108" w:type="dxa"/>
            <w:bottom w:w="0" w:type="dxa"/>
            <w:right w:w="108" w:type="dxa"/>
          </w:tblCellMar>
        </w:tblPrEx>
        <w:trPr>
          <w:trHeight w:val="1088" w:hRule="atLeast"/>
        </w:trPr>
        <w:tc>
          <w:tcPr>
            <w:tcW w:w="119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策勒河</w:t>
            </w:r>
          </w:p>
        </w:tc>
        <w:tc>
          <w:tcPr>
            <w:tcW w:w="96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全河段</w:t>
            </w:r>
          </w:p>
        </w:tc>
        <w:tc>
          <w:tcPr>
            <w:tcW w:w="8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100km</w:t>
            </w:r>
          </w:p>
        </w:tc>
        <w:tc>
          <w:tcPr>
            <w:tcW w:w="9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策勒县</w:t>
            </w:r>
          </w:p>
        </w:tc>
        <w:tc>
          <w:tcPr>
            <w:tcW w:w="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饮用、工业、农业用水</w:t>
            </w:r>
          </w:p>
        </w:tc>
        <w:tc>
          <w:tcPr>
            <w:tcW w:w="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饮用水源</w:t>
            </w: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饮用水水源保护区</w:t>
            </w:r>
          </w:p>
        </w:tc>
        <w:tc>
          <w:tcPr>
            <w:tcW w:w="5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Ⅱ</w:t>
            </w:r>
          </w:p>
        </w:tc>
        <w:tc>
          <w:tcPr>
            <w:tcW w:w="106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喀拉塔什</w:t>
            </w:r>
          </w:p>
        </w:tc>
      </w:tr>
      <w:tr>
        <w:tblPrEx>
          <w:tblLayout w:type="fixed"/>
          <w:tblCellMar>
            <w:top w:w="0" w:type="dxa"/>
            <w:left w:w="108" w:type="dxa"/>
            <w:bottom w:w="0" w:type="dxa"/>
            <w:right w:w="108" w:type="dxa"/>
          </w:tblCellMar>
        </w:tblPrEx>
        <w:trPr>
          <w:trHeight w:val="548" w:hRule="atLeast"/>
        </w:trPr>
        <w:tc>
          <w:tcPr>
            <w:tcW w:w="119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达木沟</w:t>
            </w:r>
          </w:p>
        </w:tc>
        <w:tc>
          <w:tcPr>
            <w:tcW w:w="96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全河段</w:t>
            </w:r>
          </w:p>
        </w:tc>
        <w:tc>
          <w:tcPr>
            <w:tcW w:w="8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27km</w:t>
            </w:r>
          </w:p>
        </w:tc>
        <w:tc>
          <w:tcPr>
            <w:tcW w:w="9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策勒县</w:t>
            </w:r>
          </w:p>
        </w:tc>
        <w:tc>
          <w:tcPr>
            <w:tcW w:w="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源头水</w:t>
            </w:r>
          </w:p>
        </w:tc>
        <w:tc>
          <w:tcPr>
            <w:tcW w:w="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自然保护</w:t>
            </w: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自然保护区</w:t>
            </w:r>
          </w:p>
        </w:tc>
        <w:tc>
          <w:tcPr>
            <w:tcW w:w="5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I</w:t>
            </w:r>
          </w:p>
        </w:tc>
        <w:tc>
          <w:tcPr>
            <w:tcW w:w="106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布臧</w:t>
            </w:r>
          </w:p>
        </w:tc>
      </w:tr>
      <w:tr>
        <w:tblPrEx>
          <w:tblLayout w:type="fixed"/>
          <w:tblCellMar>
            <w:top w:w="0" w:type="dxa"/>
            <w:left w:w="108" w:type="dxa"/>
            <w:bottom w:w="0" w:type="dxa"/>
            <w:right w:w="108" w:type="dxa"/>
          </w:tblCellMar>
        </w:tblPrEx>
        <w:trPr>
          <w:trHeight w:val="548" w:hRule="atLeast"/>
        </w:trPr>
        <w:tc>
          <w:tcPr>
            <w:tcW w:w="119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达木沟水库</w:t>
            </w:r>
          </w:p>
        </w:tc>
        <w:tc>
          <w:tcPr>
            <w:tcW w:w="96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全河段</w:t>
            </w:r>
          </w:p>
        </w:tc>
        <w:tc>
          <w:tcPr>
            <w:tcW w:w="8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2.25km</w:t>
            </w:r>
            <w:r>
              <w:rPr>
                <w:rFonts w:ascii="仿宋" w:hAnsi="仿宋" w:eastAsia="仿宋" w:cs="仿宋"/>
                <w:color w:val="auto"/>
                <w:kern w:val="0"/>
                <w:sz w:val="22"/>
                <w:szCs w:val="22"/>
                <w:highlight w:val="none"/>
                <w:vertAlign w:val="superscript"/>
                <w:lang w:bidi="ar"/>
              </w:rPr>
              <w:t>2</w:t>
            </w:r>
          </w:p>
        </w:tc>
        <w:tc>
          <w:tcPr>
            <w:tcW w:w="9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策勒县</w:t>
            </w:r>
          </w:p>
        </w:tc>
        <w:tc>
          <w:tcPr>
            <w:tcW w:w="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源头水</w:t>
            </w:r>
          </w:p>
        </w:tc>
        <w:tc>
          <w:tcPr>
            <w:tcW w:w="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自然保护</w:t>
            </w: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自然保护区</w:t>
            </w:r>
          </w:p>
        </w:tc>
        <w:tc>
          <w:tcPr>
            <w:tcW w:w="5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I</w:t>
            </w:r>
          </w:p>
        </w:tc>
        <w:tc>
          <w:tcPr>
            <w:tcW w:w="106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布臧</w:t>
            </w:r>
          </w:p>
        </w:tc>
      </w:tr>
      <w:tr>
        <w:tblPrEx>
          <w:tblLayout w:type="fixed"/>
          <w:tblCellMar>
            <w:top w:w="0" w:type="dxa"/>
            <w:left w:w="108" w:type="dxa"/>
            <w:bottom w:w="0" w:type="dxa"/>
            <w:right w:w="108" w:type="dxa"/>
          </w:tblCellMar>
        </w:tblPrEx>
        <w:trPr>
          <w:trHeight w:val="548" w:hRule="atLeast"/>
        </w:trPr>
        <w:tc>
          <w:tcPr>
            <w:tcW w:w="119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喀拉喀什代牙</w:t>
            </w:r>
          </w:p>
        </w:tc>
        <w:tc>
          <w:tcPr>
            <w:tcW w:w="96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全河段</w:t>
            </w:r>
          </w:p>
        </w:tc>
        <w:tc>
          <w:tcPr>
            <w:tcW w:w="8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18km</w:t>
            </w:r>
          </w:p>
        </w:tc>
        <w:tc>
          <w:tcPr>
            <w:tcW w:w="9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策勒县</w:t>
            </w:r>
          </w:p>
        </w:tc>
        <w:tc>
          <w:tcPr>
            <w:tcW w:w="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饮用、农业</w:t>
            </w:r>
          </w:p>
        </w:tc>
        <w:tc>
          <w:tcPr>
            <w:tcW w:w="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饮用水源</w:t>
            </w: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饮用水水源保护区</w:t>
            </w:r>
          </w:p>
        </w:tc>
        <w:tc>
          <w:tcPr>
            <w:tcW w:w="5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Ⅱ</w:t>
            </w:r>
          </w:p>
        </w:tc>
        <w:tc>
          <w:tcPr>
            <w:tcW w:w="106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喀拉塔什</w:t>
            </w:r>
          </w:p>
        </w:tc>
      </w:tr>
      <w:tr>
        <w:tblPrEx>
          <w:tblLayout w:type="fixed"/>
          <w:tblCellMar>
            <w:top w:w="0" w:type="dxa"/>
            <w:left w:w="108" w:type="dxa"/>
            <w:bottom w:w="0" w:type="dxa"/>
            <w:right w:w="108" w:type="dxa"/>
          </w:tblCellMar>
        </w:tblPrEx>
        <w:trPr>
          <w:trHeight w:val="548" w:hRule="atLeast"/>
        </w:trPr>
        <w:tc>
          <w:tcPr>
            <w:tcW w:w="119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奴尔河</w:t>
            </w:r>
          </w:p>
        </w:tc>
        <w:tc>
          <w:tcPr>
            <w:tcW w:w="96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全河段</w:t>
            </w:r>
          </w:p>
        </w:tc>
        <w:tc>
          <w:tcPr>
            <w:tcW w:w="8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12km</w:t>
            </w:r>
          </w:p>
        </w:tc>
        <w:tc>
          <w:tcPr>
            <w:tcW w:w="9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策勒县</w:t>
            </w:r>
          </w:p>
        </w:tc>
        <w:tc>
          <w:tcPr>
            <w:tcW w:w="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源头水</w:t>
            </w:r>
          </w:p>
        </w:tc>
        <w:tc>
          <w:tcPr>
            <w:tcW w:w="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自然保护</w:t>
            </w: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自然保护区</w:t>
            </w:r>
          </w:p>
        </w:tc>
        <w:tc>
          <w:tcPr>
            <w:tcW w:w="5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I</w:t>
            </w:r>
          </w:p>
        </w:tc>
        <w:tc>
          <w:tcPr>
            <w:tcW w:w="106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独木村</w:t>
            </w:r>
          </w:p>
        </w:tc>
      </w:tr>
      <w:tr>
        <w:tblPrEx>
          <w:tblLayout w:type="fixed"/>
          <w:tblCellMar>
            <w:top w:w="0" w:type="dxa"/>
            <w:left w:w="108" w:type="dxa"/>
            <w:bottom w:w="0" w:type="dxa"/>
            <w:right w:w="108" w:type="dxa"/>
          </w:tblCellMar>
        </w:tblPrEx>
        <w:trPr>
          <w:trHeight w:val="255" w:hRule="atLeast"/>
        </w:trPr>
        <w:tc>
          <w:tcPr>
            <w:tcW w:w="119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提约奴哈</w:t>
            </w:r>
          </w:p>
        </w:tc>
        <w:tc>
          <w:tcPr>
            <w:tcW w:w="96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全河段</w:t>
            </w:r>
          </w:p>
        </w:tc>
        <w:tc>
          <w:tcPr>
            <w:tcW w:w="8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20km</w:t>
            </w:r>
          </w:p>
        </w:tc>
        <w:tc>
          <w:tcPr>
            <w:tcW w:w="9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策勒县</w:t>
            </w:r>
          </w:p>
        </w:tc>
        <w:tc>
          <w:tcPr>
            <w:tcW w:w="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源头水</w:t>
            </w:r>
          </w:p>
        </w:tc>
        <w:tc>
          <w:tcPr>
            <w:tcW w:w="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自然保护</w:t>
            </w: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自然保护区</w:t>
            </w:r>
          </w:p>
        </w:tc>
        <w:tc>
          <w:tcPr>
            <w:tcW w:w="5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I</w:t>
            </w:r>
          </w:p>
        </w:tc>
        <w:tc>
          <w:tcPr>
            <w:tcW w:w="106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独木村</w:t>
            </w:r>
          </w:p>
        </w:tc>
      </w:tr>
      <w:tr>
        <w:tblPrEx>
          <w:tblLayout w:type="fixed"/>
          <w:tblCellMar>
            <w:top w:w="0" w:type="dxa"/>
            <w:left w:w="108" w:type="dxa"/>
            <w:bottom w:w="0" w:type="dxa"/>
            <w:right w:w="108" w:type="dxa"/>
          </w:tblCellMar>
        </w:tblPrEx>
        <w:trPr>
          <w:trHeight w:val="558" w:hRule="atLeast"/>
        </w:trPr>
        <w:tc>
          <w:tcPr>
            <w:tcW w:w="119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章代牙</w:t>
            </w:r>
          </w:p>
        </w:tc>
        <w:tc>
          <w:tcPr>
            <w:tcW w:w="96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全河段</w:t>
            </w:r>
          </w:p>
        </w:tc>
        <w:tc>
          <w:tcPr>
            <w:tcW w:w="8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21km</w:t>
            </w:r>
          </w:p>
        </w:tc>
        <w:tc>
          <w:tcPr>
            <w:tcW w:w="9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策勒县</w:t>
            </w:r>
          </w:p>
        </w:tc>
        <w:tc>
          <w:tcPr>
            <w:tcW w:w="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源头水</w:t>
            </w:r>
          </w:p>
        </w:tc>
        <w:tc>
          <w:tcPr>
            <w:tcW w:w="93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自然保护</w:t>
            </w: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自然保护区</w:t>
            </w:r>
          </w:p>
        </w:tc>
        <w:tc>
          <w:tcPr>
            <w:tcW w:w="58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I</w:t>
            </w:r>
          </w:p>
        </w:tc>
        <w:tc>
          <w:tcPr>
            <w:tcW w:w="106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布臧</w:t>
            </w:r>
          </w:p>
        </w:tc>
      </w:tr>
    </w:tbl>
    <w:p>
      <w:pPr>
        <w:pStyle w:val="38"/>
        <w:spacing w:beforeLines="0" w:line="400" w:lineRule="exact"/>
        <w:rPr>
          <w:rFonts w:cs="Times New Roman"/>
          <w:color w:val="auto"/>
          <w:highlight w:val="none"/>
        </w:rPr>
      </w:pPr>
      <w:r>
        <w:rPr>
          <w:rFonts w:cs="Times New Roman"/>
          <w:color w:val="auto"/>
          <w:highlight w:val="none"/>
        </w:rPr>
        <w:t>表</w:t>
      </w:r>
      <w:r>
        <w:rPr>
          <w:rFonts w:hint="eastAsia" w:cs="Times New Roman"/>
          <w:color w:val="auto"/>
          <w:highlight w:val="none"/>
          <w:lang w:val="en-US" w:eastAsia="zh-CN"/>
        </w:rPr>
        <w:t>2.1</w:t>
      </w:r>
      <w:r>
        <w:rPr>
          <w:rFonts w:cs="Times New Roman"/>
          <w:color w:val="auto"/>
          <w:highlight w:val="none"/>
        </w:rPr>
        <w:t>-</w:t>
      </w:r>
      <w:r>
        <w:rPr>
          <w:rFonts w:hint="eastAsia" w:cs="Times New Roman"/>
          <w:color w:val="auto"/>
          <w:highlight w:val="none"/>
          <w:lang w:val="en-US" w:eastAsia="zh-CN"/>
        </w:rPr>
        <w:t>2</w:t>
      </w:r>
      <w:r>
        <w:rPr>
          <w:rFonts w:hint="eastAsia" w:cs="Times New Roman"/>
          <w:color w:val="auto"/>
          <w:highlight w:val="none"/>
        </w:rPr>
        <w:t xml:space="preserve">  </w:t>
      </w:r>
      <w:r>
        <w:rPr>
          <w:rFonts w:hint="eastAsia" w:cs="Times New Roman"/>
          <w:color w:val="auto"/>
          <w:highlight w:val="none"/>
          <w:lang w:eastAsia="zh-CN"/>
        </w:rPr>
        <w:t>策勒县</w:t>
      </w:r>
      <w:r>
        <w:rPr>
          <w:rFonts w:cs="Times New Roman"/>
          <w:color w:val="auto"/>
          <w:highlight w:val="none"/>
        </w:rPr>
        <w:t>水环境功能区水质目标表</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756"/>
        <w:gridCol w:w="1756"/>
        <w:gridCol w:w="1670"/>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水质目标类别</w:t>
            </w:r>
          </w:p>
        </w:tc>
        <w:tc>
          <w:tcPr>
            <w:tcW w:w="1756" w:type="dxa"/>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河流功能区数量</w:t>
            </w:r>
          </w:p>
        </w:tc>
        <w:tc>
          <w:tcPr>
            <w:tcW w:w="1756" w:type="dxa"/>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湖库功能区数量</w:t>
            </w:r>
          </w:p>
        </w:tc>
        <w:tc>
          <w:tcPr>
            <w:tcW w:w="1670" w:type="dxa"/>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小计</w:t>
            </w:r>
          </w:p>
        </w:tc>
        <w:tc>
          <w:tcPr>
            <w:tcW w:w="1672" w:type="dxa"/>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所占比例%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Ⅰ</w:t>
            </w:r>
          </w:p>
        </w:tc>
        <w:tc>
          <w:tcPr>
            <w:tcW w:w="1756" w:type="dxa"/>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6</w:t>
            </w:r>
          </w:p>
        </w:tc>
        <w:tc>
          <w:tcPr>
            <w:tcW w:w="1756" w:type="dxa"/>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1</w:t>
            </w:r>
          </w:p>
        </w:tc>
        <w:tc>
          <w:tcPr>
            <w:tcW w:w="1670" w:type="dxa"/>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7</w:t>
            </w:r>
          </w:p>
        </w:tc>
        <w:tc>
          <w:tcPr>
            <w:tcW w:w="1672" w:type="dxa"/>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78</w:t>
            </w:r>
            <w:r>
              <w:rPr>
                <w:rFonts w:hint="eastAsia" w:ascii="仿宋" w:hAnsi="仿宋" w:eastAsia="仿宋" w:cs="仿宋"/>
                <w:color w:val="auto"/>
                <w:kern w:val="0"/>
                <w:sz w:val="22"/>
                <w:szCs w:val="22"/>
                <w:highlight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Ⅱ</w:t>
            </w:r>
          </w:p>
        </w:tc>
        <w:tc>
          <w:tcPr>
            <w:tcW w:w="1756" w:type="dxa"/>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2</w:t>
            </w:r>
          </w:p>
        </w:tc>
        <w:tc>
          <w:tcPr>
            <w:tcW w:w="1756" w:type="dxa"/>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0</w:t>
            </w:r>
          </w:p>
        </w:tc>
        <w:tc>
          <w:tcPr>
            <w:tcW w:w="1670" w:type="dxa"/>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2</w:t>
            </w:r>
          </w:p>
        </w:tc>
        <w:tc>
          <w:tcPr>
            <w:tcW w:w="1672" w:type="dxa"/>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22</w:t>
            </w:r>
            <w:r>
              <w:rPr>
                <w:rFonts w:hint="eastAsia" w:ascii="仿宋" w:hAnsi="仿宋" w:eastAsia="仿宋" w:cs="仿宋"/>
                <w:color w:val="auto"/>
                <w:kern w:val="0"/>
                <w:sz w:val="22"/>
                <w:szCs w:val="22"/>
                <w:highlight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合计</w:t>
            </w:r>
          </w:p>
        </w:tc>
        <w:tc>
          <w:tcPr>
            <w:tcW w:w="1756" w:type="dxa"/>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8</w:t>
            </w:r>
          </w:p>
        </w:tc>
        <w:tc>
          <w:tcPr>
            <w:tcW w:w="1756" w:type="dxa"/>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1</w:t>
            </w:r>
          </w:p>
        </w:tc>
        <w:tc>
          <w:tcPr>
            <w:tcW w:w="1670" w:type="dxa"/>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9</w:t>
            </w:r>
          </w:p>
        </w:tc>
        <w:tc>
          <w:tcPr>
            <w:tcW w:w="1672" w:type="dxa"/>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100%</w:t>
            </w:r>
          </w:p>
        </w:tc>
      </w:tr>
    </w:tbl>
    <w:p>
      <w:pPr>
        <w:spacing w:line="360" w:lineRule="auto"/>
        <w:ind w:firstLine="640" w:firstLineChars="200"/>
        <w:jc w:val="both"/>
        <w:rPr>
          <w:rFonts w:hint="eastAsia" w:ascii="仿宋_GB2312" w:hAnsi="仿宋_GB2312" w:eastAsia="仿宋_GB2312" w:cs="仿宋_GB2312"/>
          <w:b w:val="0"/>
          <w:bCs w:val="0"/>
          <w:color w:val="auto"/>
          <w:kern w:val="2"/>
          <w:sz w:val="32"/>
          <w:szCs w:val="32"/>
          <w:highlight w:val="none"/>
          <w:lang w:val="en-US" w:eastAsia="zh-CN" w:bidi="ar-SA"/>
        </w:rPr>
      </w:pPr>
      <w:bookmarkStart w:id="23" w:name="_Toc1557"/>
      <w:r>
        <w:rPr>
          <w:rFonts w:hint="eastAsia" w:ascii="仿宋_GB2312" w:hAnsi="仿宋_GB2312" w:eastAsia="仿宋_GB2312" w:cs="仿宋_GB2312"/>
          <w:b w:val="0"/>
          <w:bCs w:val="0"/>
          <w:color w:val="auto"/>
          <w:kern w:val="2"/>
          <w:sz w:val="32"/>
          <w:szCs w:val="32"/>
          <w:highlight w:val="none"/>
          <w:lang w:val="en-US" w:eastAsia="zh-CN" w:bidi="ar-SA"/>
        </w:rPr>
        <w:t>水环境质量见表2.1-3。</w:t>
      </w:r>
    </w:p>
    <w:p>
      <w:pPr>
        <w:pStyle w:val="38"/>
        <w:spacing w:beforeLines="0" w:line="400" w:lineRule="exact"/>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表2.1-3   水文站各断面水质情况表</w:t>
      </w:r>
    </w:p>
    <w:tbl>
      <w:tblPr>
        <w:tblStyle w:val="26"/>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69"/>
        <w:gridCol w:w="1371"/>
        <w:gridCol w:w="1976"/>
        <w:gridCol w:w="1412"/>
        <w:gridCol w:w="871"/>
        <w:gridCol w:w="1037"/>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769"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序号</w:t>
            </w:r>
          </w:p>
        </w:tc>
        <w:tc>
          <w:tcPr>
            <w:tcW w:w="137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河流</w:t>
            </w:r>
          </w:p>
        </w:tc>
        <w:tc>
          <w:tcPr>
            <w:tcW w:w="1976"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断面</w:t>
            </w:r>
          </w:p>
        </w:tc>
        <w:tc>
          <w:tcPr>
            <w:tcW w:w="1412"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控制长度km</w:t>
            </w:r>
          </w:p>
        </w:tc>
        <w:tc>
          <w:tcPr>
            <w:tcW w:w="87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汛期</w:t>
            </w:r>
          </w:p>
        </w:tc>
        <w:tc>
          <w:tcPr>
            <w:tcW w:w="1037"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非汛期</w:t>
            </w:r>
          </w:p>
        </w:tc>
        <w:tc>
          <w:tcPr>
            <w:tcW w:w="108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年平均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769"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1</w:t>
            </w:r>
          </w:p>
        </w:tc>
        <w:tc>
          <w:tcPr>
            <w:tcW w:w="137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策勒河</w:t>
            </w:r>
          </w:p>
        </w:tc>
        <w:tc>
          <w:tcPr>
            <w:tcW w:w="1976"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策勒水文站</w:t>
            </w:r>
          </w:p>
        </w:tc>
        <w:tc>
          <w:tcPr>
            <w:tcW w:w="1412"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150</w:t>
            </w:r>
          </w:p>
        </w:tc>
        <w:tc>
          <w:tcPr>
            <w:tcW w:w="87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Ⅱ</w:t>
            </w:r>
          </w:p>
        </w:tc>
        <w:tc>
          <w:tcPr>
            <w:tcW w:w="1037"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Ⅱ</w:t>
            </w:r>
          </w:p>
        </w:tc>
        <w:tc>
          <w:tcPr>
            <w:tcW w:w="108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769"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2</w:t>
            </w:r>
          </w:p>
        </w:tc>
        <w:tc>
          <w:tcPr>
            <w:tcW w:w="137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恰恰河</w:t>
            </w:r>
          </w:p>
        </w:tc>
        <w:tc>
          <w:tcPr>
            <w:tcW w:w="1976"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恰恰大桥</w:t>
            </w:r>
          </w:p>
        </w:tc>
        <w:tc>
          <w:tcPr>
            <w:tcW w:w="1412"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103</w:t>
            </w:r>
          </w:p>
        </w:tc>
        <w:tc>
          <w:tcPr>
            <w:tcW w:w="87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Ⅱ</w:t>
            </w:r>
          </w:p>
        </w:tc>
        <w:tc>
          <w:tcPr>
            <w:tcW w:w="1037" w:type="dxa"/>
            <w:tcBorders>
              <w:tl2br w:val="nil"/>
              <w:tr2bl w:val="nil"/>
            </w:tcBorders>
            <w:shd w:val="clear" w:color="auto" w:fill="auto"/>
            <w:noWrap/>
            <w:vAlign w:val="center"/>
          </w:tcPr>
          <w:p>
            <w:pPr>
              <w:widowControl/>
              <w:spacing w:line="240" w:lineRule="auto"/>
              <w:ind w:firstLine="440" w:firstLineChars="200"/>
              <w:jc w:val="left"/>
              <w:rPr>
                <w:rFonts w:hint="eastAsia"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I</w:t>
            </w:r>
          </w:p>
        </w:tc>
        <w:tc>
          <w:tcPr>
            <w:tcW w:w="1081" w:type="dxa"/>
            <w:tcBorders>
              <w:tl2br w:val="nil"/>
              <w:tr2bl w:val="nil"/>
            </w:tcBorders>
            <w:shd w:val="clear" w:color="auto" w:fill="auto"/>
            <w:noWrap/>
            <w:vAlign w:val="center"/>
          </w:tcPr>
          <w:p>
            <w:pPr>
              <w:widowControl/>
              <w:spacing w:line="240" w:lineRule="auto"/>
              <w:ind w:firstLine="440" w:firstLineChars="200"/>
              <w:jc w:val="left"/>
              <w:rPr>
                <w:rFonts w:hint="eastAsia"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769"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3</w:t>
            </w:r>
          </w:p>
        </w:tc>
        <w:tc>
          <w:tcPr>
            <w:tcW w:w="137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乌鲁克萨依</w:t>
            </w:r>
          </w:p>
        </w:tc>
        <w:tc>
          <w:tcPr>
            <w:tcW w:w="1976"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乌鲁克萨依大桥</w:t>
            </w:r>
          </w:p>
        </w:tc>
        <w:tc>
          <w:tcPr>
            <w:tcW w:w="1412"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86</w:t>
            </w:r>
          </w:p>
        </w:tc>
        <w:tc>
          <w:tcPr>
            <w:tcW w:w="87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p>
        </w:tc>
        <w:tc>
          <w:tcPr>
            <w:tcW w:w="1037" w:type="dxa"/>
            <w:tcBorders>
              <w:tl2br w:val="nil"/>
              <w:tr2bl w:val="nil"/>
            </w:tcBorders>
            <w:shd w:val="clear" w:color="auto" w:fill="auto"/>
            <w:noWrap/>
            <w:vAlign w:val="center"/>
          </w:tcPr>
          <w:p>
            <w:pPr>
              <w:widowControl/>
              <w:spacing w:line="240" w:lineRule="auto"/>
              <w:ind w:firstLine="440" w:firstLineChars="200"/>
              <w:jc w:val="left"/>
              <w:rPr>
                <w:rFonts w:hint="eastAsia"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I</w:t>
            </w:r>
          </w:p>
        </w:tc>
        <w:tc>
          <w:tcPr>
            <w:tcW w:w="1081" w:type="dxa"/>
            <w:tcBorders>
              <w:tl2br w:val="nil"/>
              <w:tr2bl w:val="nil"/>
            </w:tcBorders>
            <w:shd w:val="clear" w:color="auto" w:fill="auto"/>
            <w:noWrap/>
            <w:vAlign w:val="center"/>
          </w:tcPr>
          <w:p>
            <w:pPr>
              <w:widowControl/>
              <w:spacing w:line="240" w:lineRule="auto"/>
              <w:ind w:firstLine="440" w:firstLineChars="200"/>
              <w:jc w:val="left"/>
              <w:rPr>
                <w:rFonts w:hint="eastAsia"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769"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4</w:t>
            </w:r>
          </w:p>
        </w:tc>
        <w:tc>
          <w:tcPr>
            <w:tcW w:w="137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努尔河</w:t>
            </w:r>
          </w:p>
        </w:tc>
        <w:tc>
          <w:tcPr>
            <w:tcW w:w="1976"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努尔水文站</w:t>
            </w:r>
          </w:p>
        </w:tc>
        <w:tc>
          <w:tcPr>
            <w:tcW w:w="1412"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130</w:t>
            </w:r>
          </w:p>
        </w:tc>
        <w:tc>
          <w:tcPr>
            <w:tcW w:w="87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Ⅱ</w:t>
            </w:r>
          </w:p>
        </w:tc>
        <w:tc>
          <w:tcPr>
            <w:tcW w:w="1037" w:type="dxa"/>
            <w:tcBorders>
              <w:tl2br w:val="nil"/>
              <w:tr2bl w:val="nil"/>
            </w:tcBorders>
            <w:shd w:val="clear" w:color="auto" w:fill="auto"/>
            <w:noWrap/>
            <w:vAlign w:val="center"/>
          </w:tcPr>
          <w:p>
            <w:pPr>
              <w:widowControl/>
              <w:spacing w:line="240" w:lineRule="auto"/>
              <w:ind w:firstLine="440" w:firstLineChars="200"/>
              <w:jc w:val="left"/>
              <w:rPr>
                <w:rFonts w:hint="eastAsia"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I</w:t>
            </w:r>
          </w:p>
        </w:tc>
        <w:tc>
          <w:tcPr>
            <w:tcW w:w="1081" w:type="dxa"/>
            <w:tcBorders>
              <w:tl2br w:val="nil"/>
              <w:tr2bl w:val="nil"/>
            </w:tcBorders>
            <w:shd w:val="clear" w:color="auto" w:fill="auto"/>
            <w:noWrap/>
            <w:vAlign w:val="center"/>
          </w:tcPr>
          <w:p>
            <w:pPr>
              <w:widowControl/>
              <w:spacing w:line="240" w:lineRule="auto"/>
              <w:ind w:firstLine="440" w:firstLineChars="200"/>
              <w:jc w:val="center"/>
              <w:rPr>
                <w:rFonts w:hint="eastAsia"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769"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5</w:t>
            </w:r>
          </w:p>
        </w:tc>
        <w:tc>
          <w:tcPr>
            <w:tcW w:w="137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萨依瓦河</w:t>
            </w:r>
          </w:p>
        </w:tc>
        <w:tc>
          <w:tcPr>
            <w:tcW w:w="1976"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萨依瓦河</w:t>
            </w:r>
          </w:p>
        </w:tc>
        <w:tc>
          <w:tcPr>
            <w:tcW w:w="1412"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31.5</w:t>
            </w:r>
          </w:p>
        </w:tc>
        <w:tc>
          <w:tcPr>
            <w:tcW w:w="87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p>
        </w:tc>
        <w:tc>
          <w:tcPr>
            <w:tcW w:w="1037"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Ⅱ</w:t>
            </w:r>
          </w:p>
        </w:tc>
        <w:tc>
          <w:tcPr>
            <w:tcW w:w="1081" w:type="dxa"/>
            <w:tcBorders>
              <w:tl2br w:val="nil"/>
              <w:tr2bl w:val="nil"/>
            </w:tcBorders>
            <w:shd w:val="clear" w:color="auto" w:fill="auto"/>
            <w:noWrap/>
            <w:vAlign w:val="center"/>
          </w:tcPr>
          <w:p>
            <w:pPr>
              <w:widowControl/>
              <w:spacing w:line="240" w:lineRule="auto"/>
              <w:ind w:firstLine="440" w:firstLineChars="200"/>
              <w:jc w:val="center"/>
              <w:rPr>
                <w:rFonts w:hint="eastAsia"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769"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6</w:t>
            </w:r>
          </w:p>
        </w:tc>
        <w:tc>
          <w:tcPr>
            <w:tcW w:w="137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阿克赛音河</w:t>
            </w:r>
          </w:p>
        </w:tc>
        <w:tc>
          <w:tcPr>
            <w:tcW w:w="1976"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博斯坦乡拉哈渠首</w:t>
            </w:r>
          </w:p>
        </w:tc>
        <w:tc>
          <w:tcPr>
            <w:tcW w:w="1412"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56</w:t>
            </w:r>
          </w:p>
        </w:tc>
        <w:tc>
          <w:tcPr>
            <w:tcW w:w="87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p>
        </w:tc>
        <w:tc>
          <w:tcPr>
            <w:tcW w:w="1037"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I</w:t>
            </w:r>
          </w:p>
        </w:tc>
        <w:tc>
          <w:tcPr>
            <w:tcW w:w="1081" w:type="dxa"/>
            <w:tcBorders>
              <w:tl2br w:val="nil"/>
              <w:tr2bl w:val="nil"/>
            </w:tcBorders>
            <w:shd w:val="clear" w:color="auto" w:fill="auto"/>
            <w:noWrap/>
            <w:vAlign w:val="center"/>
          </w:tcPr>
          <w:p>
            <w:pPr>
              <w:widowControl/>
              <w:spacing w:line="240" w:lineRule="auto"/>
              <w:ind w:firstLine="440" w:firstLineChars="200"/>
              <w:jc w:val="center"/>
              <w:rPr>
                <w:rFonts w:hint="eastAsia" w:ascii="仿宋" w:hAnsi="仿宋" w:eastAsia="仿宋" w:cs="仿宋"/>
                <w:color w:val="auto"/>
                <w:kern w:val="0"/>
                <w:sz w:val="22"/>
                <w:szCs w:val="22"/>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769"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7</w:t>
            </w:r>
          </w:p>
        </w:tc>
        <w:tc>
          <w:tcPr>
            <w:tcW w:w="137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卡尔苏河</w:t>
            </w:r>
          </w:p>
        </w:tc>
        <w:tc>
          <w:tcPr>
            <w:tcW w:w="1976"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加依吐孜大队</w:t>
            </w:r>
          </w:p>
        </w:tc>
        <w:tc>
          <w:tcPr>
            <w:tcW w:w="1412"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54</w:t>
            </w:r>
          </w:p>
        </w:tc>
        <w:tc>
          <w:tcPr>
            <w:tcW w:w="87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r>
              <w:rPr>
                <w:rFonts w:ascii="仿宋" w:hAnsi="仿宋" w:eastAsia="仿宋" w:cs="仿宋"/>
                <w:color w:val="auto"/>
                <w:kern w:val="0"/>
                <w:sz w:val="22"/>
                <w:szCs w:val="22"/>
                <w:highlight w:val="none"/>
                <w:lang w:bidi="ar"/>
              </w:rPr>
              <w:t>I</w:t>
            </w:r>
          </w:p>
        </w:tc>
        <w:tc>
          <w:tcPr>
            <w:tcW w:w="1037"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bidi="ar"/>
              </w:rPr>
            </w:pPr>
          </w:p>
        </w:tc>
        <w:tc>
          <w:tcPr>
            <w:tcW w:w="1081" w:type="dxa"/>
            <w:tcBorders>
              <w:tl2br w:val="nil"/>
              <w:tr2bl w:val="nil"/>
            </w:tcBorders>
            <w:shd w:val="clear" w:color="auto" w:fill="auto"/>
            <w:noWrap/>
            <w:vAlign w:val="center"/>
          </w:tcPr>
          <w:p>
            <w:pPr>
              <w:widowControl/>
              <w:spacing w:line="240" w:lineRule="auto"/>
              <w:ind w:firstLine="440" w:firstLineChars="200"/>
              <w:jc w:val="center"/>
              <w:rPr>
                <w:rFonts w:hint="eastAsia" w:ascii="仿宋" w:hAnsi="仿宋" w:eastAsia="仿宋" w:cs="仿宋"/>
                <w:color w:val="auto"/>
                <w:kern w:val="0"/>
                <w:sz w:val="22"/>
                <w:szCs w:val="22"/>
                <w:highlight w:val="none"/>
                <w:lang w:bidi="ar"/>
              </w:rPr>
            </w:pPr>
          </w:p>
        </w:tc>
      </w:tr>
    </w:tbl>
    <w:p>
      <w:pPr>
        <w:keepNext w:val="0"/>
        <w:keepLines w:val="0"/>
        <w:pageBreakBefore w:val="0"/>
        <w:widowControl w:val="0"/>
        <w:numPr>
          <w:ilvl w:val="2"/>
          <w:numId w:val="0"/>
        </w:numPr>
        <w:kinsoku/>
        <w:wordWrap/>
        <w:overflowPunct/>
        <w:topLinePunct w:val="0"/>
        <w:autoSpaceDE/>
        <w:autoSpaceDN/>
        <w:bidi w:val="0"/>
        <w:adjustRightInd/>
        <w:snapToGrid/>
        <w:spacing w:before="156" w:beforeLines="50" w:after="120" w:line="360" w:lineRule="auto"/>
        <w:ind w:left="0" w:firstLine="643" w:firstLineChars="200"/>
        <w:jc w:val="both"/>
        <w:textAlignment w:val="auto"/>
        <w:outlineLvl w:val="3"/>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（2）湖库水环境现状</w:t>
      </w:r>
      <w:bookmarkEnd w:id="23"/>
    </w:p>
    <w:p>
      <w:pPr>
        <w:spacing w:line="360" w:lineRule="auto"/>
        <w:ind w:firstLine="640" w:firstLineChars="200"/>
        <w:jc w:val="both"/>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策勒县主要有6个水库，</w:t>
      </w:r>
      <w:r>
        <w:rPr>
          <w:rFonts w:hint="eastAsia" w:ascii="Times New Roman" w:hAnsi="Times New Roman" w:eastAsia="仿宋_GB2312"/>
          <w:color w:val="auto"/>
          <w:sz w:val="32"/>
          <w:szCs w:val="32"/>
          <w:highlight w:val="none"/>
          <w:lang w:eastAsia="zh-CN"/>
        </w:rPr>
        <w:t>处于中营养状况</w:t>
      </w:r>
      <w:r>
        <w:rPr>
          <w:rFonts w:hint="eastAsia" w:ascii="仿宋_GB2312" w:hAnsi="仿宋_GB2312" w:eastAsia="仿宋_GB2312" w:cs="仿宋_GB2312"/>
          <w:b w:val="0"/>
          <w:bCs w:val="0"/>
          <w:color w:val="auto"/>
          <w:kern w:val="2"/>
          <w:sz w:val="32"/>
          <w:szCs w:val="32"/>
          <w:highlight w:val="none"/>
          <w:lang w:val="en-US" w:eastAsia="zh-CN" w:bidi="ar-SA"/>
        </w:rPr>
        <w:t>。</w:t>
      </w:r>
    </w:p>
    <w:p>
      <w:pPr>
        <w:pStyle w:val="38"/>
        <w:spacing w:beforeLines="0" w:line="400" w:lineRule="exact"/>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表2.1-4   策勒县主要水库营养状况评价情况表</w:t>
      </w:r>
    </w:p>
    <w:tbl>
      <w:tblPr>
        <w:tblStyle w:val="26"/>
        <w:tblW w:w="833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078"/>
        <w:gridCol w:w="1927"/>
        <w:gridCol w:w="1545"/>
        <w:gridCol w:w="1196"/>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2078"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河流</w:t>
            </w:r>
          </w:p>
        </w:tc>
        <w:tc>
          <w:tcPr>
            <w:tcW w:w="1927"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水库名称</w:t>
            </w:r>
          </w:p>
        </w:tc>
        <w:tc>
          <w:tcPr>
            <w:tcW w:w="1545"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库容</w:t>
            </w:r>
          </w:p>
        </w:tc>
        <w:tc>
          <w:tcPr>
            <w:tcW w:w="1196"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评分指数</w:t>
            </w:r>
          </w:p>
        </w:tc>
        <w:tc>
          <w:tcPr>
            <w:tcW w:w="159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营养状态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078"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策勒河</w:t>
            </w:r>
          </w:p>
        </w:tc>
        <w:tc>
          <w:tcPr>
            <w:tcW w:w="1927"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先锋</w:t>
            </w:r>
          </w:p>
        </w:tc>
        <w:tc>
          <w:tcPr>
            <w:tcW w:w="1545"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566</w:t>
            </w:r>
          </w:p>
        </w:tc>
        <w:tc>
          <w:tcPr>
            <w:tcW w:w="1196"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39</w:t>
            </w:r>
          </w:p>
        </w:tc>
        <w:tc>
          <w:tcPr>
            <w:tcW w:w="159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中营养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078"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乌鲁克萨依</w:t>
            </w:r>
          </w:p>
        </w:tc>
        <w:tc>
          <w:tcPr>
            <w:tcW w:w="1927"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巴迪干</w:t>
            </w:r>
          </w:p>
        </w:tc>
        <w:tc>
          <w:tcPr>
            <w:tcW w:w="1545"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25</w:t>
            </w:r>
          </w:p>
        </w:tc>
        <w:tc>
          <w:tcPr>
            <w:tcW w:w="1196"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40</w:t>
            </w:r>
          </w:p>
        </w:tc>
        <w:tc>
          <w:tcPr>
            <w:tcW w:w="159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中营养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078"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阿克赛音河</w:t>
            </w:r>
          </w:p>
        </w:tc>
        <w:tc>
          <w:tcPr>
            <w:tcW w:w="1927"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拉哈</w:t>
            </w:r>
          </w:p>
        </w:tc>
        <w:tc>
          <w:tcPr>
            <w:tcW w:w="1545"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200</w:t>
            </w:r>
          </w:p>
        </w:tc>
        <w:tc>
          <w:tcPr>
            <w:tcW w:w="1196"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36</w:t>
            </w:r>
          </w:p>
        </w:tc>
        <w:tc>
          <w:tcPr>
            <w:tcW w:w="159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中营养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078" w:type="dxa"/>
            <w:vMerge w:val="restart"/>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恰恰河</w:t>
            </w:r>
          </w:p>
        </w:tc>
        <w:tc>
          <w:tcPr>
            <w:tcW w:w="1927"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胜利</w:t>
            </w:r>
          </w:p>
        </w:tc>
        <w:tc>
          <w:tcPr>
            <w:tcW w:w="1545"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2000</w:t>
            </w:r>
          </w:p>
        </w:tc>
        <w:tc>
          <w:tcPr>
            <w:tcW w:w="1196"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32</w:t>
            </w:r>
          </w:p>
        </w:tc>
        <w:tc>
          <w:tcPr>
            <w:tcW w:w="159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中营养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078" w:type="dxa"/>
            <w:vMerge w:val="continue"/>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p>
        </w:tc>
        <w:tc>
          <w:tcPr>
            <w:tcW w:w="1927"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浪沙</w:t>
            </w:r>
          </w:p>
        </w:tc>
        <w:tc>
          <w:tcPr>
            <w:tcW w:w="1545"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20</w:t>
            </w:r>
          </w:p>
        </w:tc>
        <w:tc>
          <w:tcPr>
            <w:tcW w:w="1196"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45</w:t>
            </w:r>
          </w:p>
        </w:tc>
        <w:tc>
          <w:tcPr>
            <w:tcW w:w="159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中营养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078"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卡尔苏河</w:t>
            </w:r>
          </w:p>
        </w:tc>
        <w:tc>
          <w:tcPr>
            <w:tcW w:w="1927"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卡尔苏</w:t>
            </w:r>
          </w:p>
        </w:tc>
        <w:tc>
          <w:tcPr>
            <w:tcW w:w="1545"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574</w:t>
            </w:r>
          </w:p>
        </w:tc>
        <w:tc>
          <w:tcPr>
            <w:tcW w:w="1196"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37</w:t>
            </w:r>
          </w:p>
        </w:tc>
        <w:tc>
          <w:tcPr>
            <w:tcW w:w="1591" w:type="dxa"/>
            <w:tcBorders>
              <w:tl2br w:val="nil"/>
              <w:tr2bl w:val="nil"/>
            </w:tcBorders>
            <w:shd w:val="clear" w:color="auto" w:fill="auto"/>
            <w:noWrap/>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中营养</w:t>
            </w:r>
          </w:p>
        </w:tc>
      </w:tr>
    </w:tbl>
    <w:p>
      <w:pPr>
        <w:pStyle w:val="17"/>
        <w:rPr>
          <w:rFonts w:hint="eastAsia"/>
          <w:color w:val="auto"/>
          <w:highlight w:val="none"/>
          <w:lang w:val="en-US" w:eastAsia="zh-CN"/>
        </w:rPr>
      </w:pPr>
    </w:p>
    <w:p>
      <w:pPr>
        <w:keepNext w:val="0"/>
        <w:keepLines w:val="0"/>
        <w:pageBreakBefore w:val="0"/>
        <w:widowControl w:val="0"/>
        <w:numPr>
          <w:ilvl w:val="2"/>
          <w:numId w:val="0"/>
        </w:numPr>
        <w:kinsoku/>
        <w:wordWrap/>
        <w:overflowPunct/>
        <w:topLinePunct w:val="0"/>
        <w:autoSpaceDE/>
        <w:autoSpaceDN/>
        <w:bidi w:val="0"/>
        <w:adjustRightInd/>
        <w:snapToGrid/>
        <w:spacing w:before="156" w:beforeLines="50" w:after="120" w:line="360" w:lineRule="auto"/>
        <w:ind w:left="0" w:firstLine="643" w:firstLineChars="200"/>
        <w:jc w:val="both"/>
        <w:textAlignment w:val="auto"/>
        <w:outlineLvl w:val="3"/>
        <w:rPr>
          <w:rFonts w:hint="eastAsia" w:ascii="仿宋" w:hAnsi="仿宋" w:eastAsia="仿宋" w:cs="仿宋"/>
          <w:b/>
          <w:bCs/>
          <w:color w:val="auto"/>
          <w:kern w:val="2"/>
          <w:sz w:val="32"/>
          <w:szCs w:val="32"/>
          <w:highlight w:val="none"/>
          <w:lang w:val="en-US" w:eastAsia="zh-CN" w:bidi="ar-SA"/>
        </w:rPr>
      </w:pPr>
      <w:bookmarkStart w:id="24" w:name="_Toc23696"/>
      <w:r>
        <w:rPr>
          <w:rFonts w:hint="eastAsia" w:ascii="仿宋" w:hAnsi="仿宋" w:eastAsia="仿宋" w:cs="仿宋"/>
          <w:b/>
          <w:bCs/>
          <w:color w:val="auto"/>
          <w:kern w:val="2"/>
          <w:sz w:val="32"/>
          <w:szCs w:val="32"/>
          <w:highlight w:val="none"/>
          <w:lang w:val="en-US" w:eastAsia="zh-CN" w:bidi="ar-SA"/>
        </w:rPr>
        <w:t>（3）集中式饮用水水源地水质状况</w:t>
      </w:r>
      <w:bookmarkEnd w:id="24"/>
    </w:p>
    <w:p>
      <w:pPr>
        <w:pStyle w:val="17"/>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调整后策勒县共有6个水源地。</w:t>
      </w:r>
    </w:p>
    <w:p>
      <w:pPr>
        <w:pStyle w:val="38"/>
        <w:spacing w:beforeLines="0" w:line="400" w:lineRule="exact"/>
        <w:rPr>
          <w:rFonts w:cs="Times New Roman"/>
          <w:color w:val="auto"/>
          <w:highlight w:val="none"/>
        </w:rPr>
      </w:pPr>
      <w:r>
        <w:rPr>
          <w:rFonts w:cs="Times New Roman"/>
          <w:color w:val="auto"/>
          <w:highlight w:val="none"/>
        </w:rPr>
        <w:t>表</w:t>
      </w:r>
      <w:r>
        <w:rPr>
          <w:rFonts w:hint="eastAsia" w:cs="Times New Roman"/>
          <w:color w:val="auto"/>
          <w:highlight w:val="none"/>
          <w:lang w:val="en-US" w:eastAsia="zh-CN"/>
        </w:rPr>
        <w:t>2.1</w:t>
      </w:r>
      <w:r>
        <w:rPr>
          <w:rFonts w:cs="Times New Roman"/>
          <w:color w:val="auto"/>
          <w:highlight w:val="none"/>
        </w:rPr>
        <w:t>-</w:t>
      </w:r>
      <w:r>
        <w:rPr>
          <w:rFonts w:hint="eastAsia" w:cs="Times New Roman"/>
          <w:color w:val="auto"/>
          <w:highlight w:val="none"/>
          <w:lang w:val="en-US" w:eastAsia="zh-CN"/>
        </w:rPr>
        <w:t>5</w:t>
      </w:r>
      <w:r>
        <w:rPr>
          <w:rFonts w:hint="eastAsia" w:cs="Times New Roman"/>
          <w:color w:val="auto"/>
          <w:highlight w:val="none"/>
        </w:rPr>
        <w:t xml:space="preserve">  </w:t>
      </w:r>
      <w:r>
        <w:rPr>
          <w:rFonts w:hint="eastAsia" w:cs="Times New Roman"/>
          <w:color w:val="auto"/>
          <w:highlight w:val="none"/>
          <w:lang w:eastAsia="zh-CN"/>
        </w:rPr>
        <w:t>策勒县饮用水水源地情况</w:t>
      </w:r>
      <w:r>
        <w:rPr>
          <w:rFonts w:cs="Times New Roman"/>
          <w:color w:val="auto"/>
          <w:highlight w:val="none"/>
        </w:rPr>
        <w:t>表</w:t>
      </w:r>
    </w:p>
    <w:tbl>
      <w:tblPr>
        <w:tblStyle w:val="26"/>
        <w:tblW w:w="895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57"/>
        <w:gridCol w:w="2795"/>
        <w:gridCol w:w="1802"/>
        <w:gridCol w:w="1131"/>
        <w:gridCol w:w="2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833" w:hRule="atLeast"/>
        </w:trPr>
        <w:tc>
          <w:tcPr>
            <w:tcW w:w="557"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序号</w:t>
            </w:r>
          </w:p>
        </w:tc>
        <w:tc>
          <w:tcPr>
            <w:tcW w:w="2795"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水源地名称</w:t>
            </w:r>
          </w:p>
        </w:tc>
        <w:tc>
          <w:tcPr>
            <w:tcW w:w="1802"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类型</w:t>
            </w:r>
          </w:p>
        </w:tc>
        <w:tc>
          <w:tcPr>
            <w:tcW w:w="1131"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所在水体</w:t>
            </w:r>
          </w:p>
        </w:tc>
        <w:tc>
          <w:tcPr>
            <w:tcW w:w="2672"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服务范围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trPr>
        <w:tc>
          <w:tcPr>
            <w:tcW w:w="557"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w:t>
            </w:r>
          </w:p>
        </w:tc>
        <w:tc>
          <w:tcPr>
            <w:tcW w:w="2795"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策勒县努尔水库饮用水水源地</w:t>
            </w:r>
          </w:p>
        </w:tc>
        <w:tc>
          <w:tcPr>
            <w:tcW w:w="1802"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水库型地表水</w:t>
            </w:r>
          </w:p>
        </w:tc>
        <w:tc>
          <w:tcPr>
            <w:tcW w:w="1131"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努尔河</w:t>
            </w:r>
          </w:p>
        </w:tc>
        <w:tc>
          <w:tcPr>
            <w:tcW w:w="2672"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除博斯坦乡、恰恰乡、博斯坦乡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557"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w:t>
            </w:r>
          </w:p>
        </w:tc>
        <w:tc>
          <w:tcPr>
            <w:tcW w:w="2795"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恰恰乡一水厂河流型水源地</w:t>
            </w:r>
          </w:p>
        </w:tc>
        <w:tc>
          <w:tcPr>
            <w:tcW w:w="1802"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河流型地表水</w:t>
            </w:r>
          </w:p>
        </w:tc>
        <w:tc>
          <w:tcPr>
            <w:tcW w:w="1131"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恰恰河</w:t>
            </w:r>
          </w:p>
        </w:tc>
        <w:tc>
          <w:tcPr>
            <w:tcW w:w="2672"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恰恰乡、努尔乡萨依巴格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trPr>
        <w:tc>
          <w:tcPr>
            <w:tcW w:w="557"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w:t>
            </w:r>
          </w:p>
        </w:tc>
        <w:tc>
          <w:tcPr>
            <w:tcW w:w="2795"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努尔乡萨依巴格河流型水源地</w:t>
            </w:r>
          </w:p>
        </w:tc>
        <w:tc>
          <w:tcPr>
            <w:tcW w:w="1802"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河流型地表水</w:t>
            </w:r>
          </w:p>
        </w:tc>
        <w:tc>
          <w:tcPr>
            <w:tcW w:w="1131"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萨依巴格河</w:t>
            </w:r>
          </w:p>
        </w:tc>
        <w:tc>
          <w:tcPr>
            <w:tcW w:w="2672"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努尔乡萨依巴格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trPr>
        <w:tc>
          <w:tcPr>
            <w:tcW w:w="557"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w:t>
            </w:r>
          </w:p>
        </w:tc>
        <w:tc>
          <w:tcPr>
            <w:tcW w:w="2795"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乌鲁克萨依乡乌鲁克萨依河水源地</w:t>
            </w:r>
          </w:p>
        </w:tc>
        <w:tc>
          <w:tcPr>
            <w:tcW w:w="1802"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河流型地表水</w:t>
            </w:r>
          </w:p>
        </w:tc>
        <w:tc>
          <w:tcPr>
            <w:tcW w:w="1131"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乌鲁克萨依河</w:t>
            </w:r>
          </w:p>
        </w:tc>
        <w:tc>
          <w:tcPr>
            <w:tcW w:w="2672"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乌鲁克萨依乡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557"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5</w:t>
            </w:r>
          </w:p>
        </w:tc>
        <w:tc>
          <w:tcPr>
            <w:tcW w:w="2795"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博斯坦乡卡苏河水源地</w:t>
            </w:r>
          </w:p>
        </w:tc>
        <w:tc>
          <w:tcPr>
            <w:tcW w:w="1802"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河流型地表水</w:t>
            </w:r>
          </w:p>
        </w:tc>
        <w:tc>
          <w:tcPr>
            <w:tcW w:w="1131"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卡苏河</w:t>
            </w:r>
          </w:p>
        </w:tc>
        <w:tc>
          <w:tcPr>
            <w:tcW w:w="2672"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博斯坦乡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trPr>
        <w:tc>
          <w:tcPr>
            <w:tcW w:w="557"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6</w:t>
            </w:r>
          </w:p>
        </w:tc>
        <w:tc>
          <w:tcPr>
            <w:tcW w:w="2795"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努尔乡萨依巴格河水库水源地</w:t>
            </w:r>
          </w:p>
        </w:tc>
        <w:tc>
          <w:tcPr>
            <w:tcW w:w="1802"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水库型地表水</w:t>
            </w:r>
          </w:p>
        </w:tc>
        <w:tc>
          <w:tcPr>
            <w:tcW w:w="1131"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萨依巴格河</w:t>
            </w:r>
          </w:p>
        </w:tc>
        <w:tc>
          <w:tcPr>
            <w:tcW w:w="2672" w:type="dxa"/>
            <w:tcBorders>
              <w:tl2br w:val="nil"/>
              <w:tr2bl w:val="nil"/>
            </w:tcBorders>
            <w:shd w:val="clear" w:color="auto" w:fill="auto"/>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努尔乡萨依巴格</w:t>
            </w:r>
          </w:p>
        </w:tc>
      </w:tr>
    </w:tbl>
    <w:p>
      <w:pPr>
        <w:widowControl/>
        <w:tabs>
          <w:tab w:val="left" w:pos="1526"/>
        </w:tabs>
        <w:snapToGrid w:val="0"/>
        <w:spacing w:line="560" w:lineRule="exact"/>
        <w:ind w:firstLine="640" w:firstLineChars="200"/>
        <w:jc w:val="both"/>
        <w:rPr>
          <w:rFonts w:hint="default" w:ascii="Times New Roman" w:hAnsi="Times New Roman" w:eastAsia="仿宋_GB2312"/>
          <w:b/>
          <w:color w:val="auto"/>
          <w:sz w:val="32"/>
          <w:szCs w:val="32"/>
          <w:highlight w:val="none"/>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5" w:name="_Hlk54163486"/>
      <w:r>
        <w:rPr>
          <w:rFonts w:ascii="Times New Roman" w:hAnsi="Times New Roman" w:eastAsia="仿宋_GB2312"/>
          <w:color w:val="auto"/>
          <w:sz w:val="32"/>
          <w:szCs w:val="32"/>
          <w:highlight w:val="none"/>
        </w:rPr>
        <w:t>20</w:t>
      </w:r>
      <w:r>
        <w:rPr>
          <w:rFonts w:hint="eastAsia" w:ascii="Times New Roman" w:hAnsi="Times New Roman" w:eastAsia="仿宋_GB2312"/>
          <w:color w:val="auto"/>
          <w:sz w:val="32"/>
          <w:szCs w:val="32"/>
          <w:highlight w:val="none"/>
          <w:lang w:val="en-US" w:eastAsia="zh-CN"/>
        </w:rPr>
        <w:t>16</w:t>
      </w:r>
      <w:r>
        <w:rPr>
          <w:rFonts w:ascii="Times New Roman" w:hAnsi="Times New Roman" w:eastAsia="仿宋_GB2312"/>
          <w:color w:val="auto"/>
          <w:sz w:val="32"/>
          <w:szCs w:val="32"/>
          <w:highlight w:val="none"/>
        </w:rPr>
        <w:t>~20</w:t>
      </w:r>
      <w:r>
        <w:rPr>
          <w:rFonts w:hint="eastAsia" w:ascii="Times New Roman" w:hAnsi="Times New Roman" w:eastAsia="仿宋_GB2312"/>
          <w:color w:val="auto"/>
          <w:sz w:val="32"/>
          <w:szCs w:val="32"/>
          <w:highlight w:val="none"/>
          <w:lang w:val="en-US" w:eastAsia="zh-CN"/>
        </w:rPr>
        <w:t>20</w:t>
      </w:r>
      <w:r>
        <w:rPr>
          <w:rFonts w:ascii="Times New Roman" w:hAnsi="Times New Roman" w:eastAsia="仿宋_GB2312"/>
          <w:color w:val="auto"/>
          <w:sz w:val="32"/>
          <w:szCs w:val="32"/>
          <w:highlight w:val="none"/>
        </w:rPr>
        <w:t>年</w:t>
      </w:r>
      <w:bookmarkEnd w:id="25"/>
      <w:r>
        <w:rPr>
          <w:rFonts w:hint="eastAsia" w:ascii="Times New Roman" w:hAnsi="Times New Roman" w:eastAsia="仿宋_GB2312"/>
          <w:color w:val="auto"/>
          <w:sz w:val="32"/>
          <w:szCs w:val="32"/>
          <w:highlight w:val="none"/>
          <w:lang w:eastAsia="zh-CN"/>
        </w:rPr>
        <w:t>策勒县水源地</w:t>
      </w:r>
      <w:r>
        <w:rPr>
          <w:rFonts w:ascii="Times New Roman" w:hAnsi="Times New Roman" w:eastAsia="仿宋_GB2312"/>
          <w:color w:val="auto"/>
          <w:sz w:val="32"/>
          <w:szCs w:val="32"/>
          <w:highlight w:val="none"/>
        </w:rPr>
        <w:t>集中式饮用水水源地水质均为Ⅲ类</w:t>
      </w:r>
      <w:r>
        <w:rPr>
          <w:rFonts w:hint="eastAsia" w:ascii="Times New Roman" w:hAnsi="Times New Roman" w:eastAsia="仿宋_GB2312"/>
          <w:color w:val="auto"/>
          <w:sz w:val="32"/>
          <w:szCs w:val="32"/>
          <w:highlight w:val="none"/>
          <w:lang w:eastAsia="zh-CN"/>
        </w:rPr>
        <w:t>以上，达标率为</w:t>
      </w:r>
      <w:r>
        <w:rPr>
          <w:rFonts w:hint="eastAsia" w:ascii="Times New Roman" w:hAnsi="Times New Roman" w:eastAsia="仿宋_GB2312"/>
          <w:color w:val="auto"/>
          <w:sz w:val="32"/>
          <w:szCs w:val="32"/>
          <w:highlight w:val="none"/>
          <w:lang w:val="en-US" w:eastAsia="zh-CN"/>
        </w:rPr>
        <w:t>100%。</w:t>
      </w:r>
    </w:p>
    <w:p>
      <w:pPr>
        <w:widowControl/>
        <w:tabs>
          <w:tab w:val="left" w:pos="1526"/>
        </w:tabs>
        <w:snapToGrid w:val="0"/>
        <w:spacing w:line="560" w:lineRule="exact"/>
        <w:ind w:firstLine="482" w:firstLineChars="200"/>
        <w:jc w:val="center"/>
        <w:rPr>
          <w:rFonts w:ascii="Times New Roman" w:hAnsi="Times New Roman" w:eastAsia="仿宋_GB2312"/>
          <w:b/>
          <w:color w:val="auto"/>
          <w:sz w:val="24"/>
          <w:szCs w:val="24"/>
          <w:highlight w:val="none"/>
        </w:rPr>
      </w:pPr>
      <w:r>
        <w:rPr>
          <w:rFonts w:ascii="Times New Roman" w:hAnsi="Times New Roman" w:eastAsia="仿宋_GB2312"/>
          <w:b/>
          <w:color w:val="auto"/>
          <w:sz w:val="24"/>
          <w:szCs w:val="24"/>
          <w:highlight w:val="none"/>
        </w:rPr>
        <w:t>表</w:t>
      </w:r>
      <w:r>
        <w:rPr>
          <w:rFonts w:hint="eastAsia" w:ascii="Times New Roman" w:hAnsi="Times New Roman" w:eastAsia="仿宋_GB2312"/>
          <w:b/>
          <w:color w:val="auto"/>
          <w:sz w:val="24"/>
          <w:szCs w:val="24"/>
          <w:highlight w:val="none"/>
          <w:lang w:val="en-US" w:eastAsia="zh-CN"/>
        </w:rPr>
        <w:t>2.1</w:t>
      </w:r>
      <w:r>
        <w:rPr>
          <w:rFonts w:ascii="Times New Roman" w:hAnsi="Times New Roman" w:eastAsia="仿宋_GB2312"/>
          <w:b/>
          <w:color w:val="auto"/>
          <w:sz w:val="24"/>
          <w:szCs w:val="24"/>
          <w:highlight w:val="none"/>
        </w:rPr>
        <w:t>-</w:t>
      </w:r>
      <w:r>
        <w:rPr>
          <w:rFonts w:hint="eastAsia" w:ascii="Times New Roman" w:hAnsi="Times New Roman" w:eastAsia="仿宋_GB2312"/>
          <w:b/>
          <w:color w:val="auto"/>
          <w:sz w:val="24"/>
          <w:szCs w:val="24"/>
          <w:highlight w:val="none"/>
          <w:lang w:val="en-US" w:eastAsia="zh-CN"/>
        </w:rPr>
        <w:t>6</w:t>
      </w:r>
      <w:r>
        <w:rPr>
          <w:rFonts w:ascii="Times New Roman" w:hAnsi="Times New Roman" w:eastAsia="仿宋_GB2312"/>
          <w:b/>
          <w:color w:val="auto"/>
          <w:sz w:val="24"/>
          <w:szCs w:val="24"/>
          <w:highlight w:val="none"/>
        </w:rPr>
        <w:t xml:space="preserve">  </w:t>
      </w:r>
      <w:r>
        <w:rPr>
          <w:rFonts w:hint="eastAsia" w:ascii="Times New Roman" w:hAnsi="Times New Roman" w:eastAsia="仿宋_GB2312"/>
          <w:b/>
          <w:color w:val="auto"/>
          <w:sz w:val="24"/>
          <w:szCs w:val="24"/>
          <w:highlight w:val="none"/>
          <w:lang w:val="en-US" w:eastAsia="zh-CN"/>
        </w:rPr>
        <w:t>2016-2020</w:t>
      </w:r>
      <w:r>
        <w:rPr>
          <w:rFonts w:ascii="Times New Roman" w:hAnsi="Times New Roman" w:eastAsia="仿宋_GB2312"/>
          <w:b/>
          <w:color w:val="auto"/>
          <w:sz w:val="24"/>
          <w:szCs w:val="24"/>
          <w:highlight w:val="none"/>
        </w:rPr>
        <w:t>年</w:t>
      </w:r>
      <w:r>
        <w:rPr>
          <w:rFonts w:hint="eastAsia" w:ascii="Times New Roman" w:hAnsi="Times New Roman" w:eastAsia="仿宋_GB2312"/>
          <w:b/>
          <w:color w:val="auto"/>
          <w:sz w:val="24"/>
          <w:szCs w:val="24"/>
          <w:highlight w:val="none"/>
          <w:lang w:eastAsia="zh-CN"/>
        </w:rPr>
        <w:t>策勒县</w:t>
      </w:r>
      <w:r>
        <w:rPr>
          <w:rFonts w:ascii="Times New Roman" w:hAnsi="Times New Roman" w:eastAsia="仿宋_GB2312"/>
          <w:b/>
          <w:color w:val="auto"/>
          <w:sz w:val="24"/>
          <w:szCs w:val="24"/>
          <w:highlight w:val="none"/>
        </w:rPr>
        <w:t>地表水考核断面逐月水质状况</w:t>
      </w:r>
    </w:p>
    <w:tbl>
      <w:tblPr>
        <w:tblStyle w:val="26"/>
        <w:tblW w:w="14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95"/>
        <w:gridCol w:w="1488"/>
        <w:gridCol w:w="858"/>
        <w:gridCol w:w="1116"/>
        <w:gridCol w:w="753"/>
        <w:gridCol w:w="718"/>
        <w:gridCol w:w="1432"/>
        <w:gridCol w:w="1432"/>
        <w:gridCol w:w="949"/>
        <w:gridCol w:w="949"/>
        <w:gridCol w:w="952"/>
        <w:gridCol w:w="949"/>
        <w:gridCol w:w="984"/>
        <w:gridCol w:w="786"/>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53" w:hRule="atLeast"/>
        </w:trPr>
        <w:tc>
          <w:tcPr>
            <w:tcW w:w="495" w:type="dxa"/>
            <w:vMerge w:val="restart"/>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序号</w:t>
            </w:r>
          </w:p>
        </w:tc>
        <w:tc>
          <w:tcPr>
            <w:tcW w:w="1488" w:type="dxa"/>
            <w:vMerge w:val="restart"/>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水源地名称</w:t>
            </w:r>
          </w:p>
        </w:tc>
        <w:tc>
          <w:tcPr>
            <w:tcW w:w="858" w:type="dxa"/>
            <w:vMerge w:val="restart"/>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区县</w:t>
            </w:r>
          </w:p>
        </w:tc>
        <w:tc>
          <w:tcPr>
            <w:tcW w:w="1116" w:type="dxa"/>
            <w:vMerge w:val="restart"/>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所属流域</w:t>
            </w:r>
          </w:p>
        </w:tc>
        <w:tc>
          <w:tcPr>
            <w:tcW w:w="753" w:type="dxa"/>
            <w:vMerge w:val="restart"/>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所在水体</w:t>
            </w:r>
          </w:p>
        </w:tc>
        <w:tc>
          <w:tcPr>
            <w:tcW w:w="718" w:type="dxa"/>
            <w:vMerge w:val="restart"/>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水源地类型</w:t>
            </w:r>
          </w:p>
        </w:tc>
        <w:tc>
          <w:tcPr>
            <w:tcW w:w="1432" w:type="dxa"/>
            <w:vMerge w:val="restart"/>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经度</w:t>
            </w:r>
          </w:p>
        </w:tc>
        <w:tc>
          <w:tcPr>
            <w:tcW w:w="1432" w:type="dxa"/>
            <w:vMerge w:val="restart"/>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纬度</w:t>
            </w:r>
          </w:p>
        </w:tc>
        <w:tc>
          <w:tcPr>
            <w:tcW w:w="4783" w:type="dxa"/>
            <w:gridSpan w:val="5"/>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水质类别</w:t>
            </w:r>
          </w:p>
        </w:tc>
        <w:tc>
          <w:tcPr>
            <w:tcW w:w="786" w:type="dxa"/>
            <w:vMerge w:val="restart"/>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超标倍数</w:t>
            </w:r>
          </w:p>
        </w:tc>
        <w:tc>
          <w:tcPr>
            <w:tcW w:w="774" w:type="dxa"/>
            <w:vMerge w:val="restart"/>
            <w:shd w:val="clear" w:color="auto" w:fill="auto"/>
            <w:vAlign w:val="center"/>
          </w:tcPr>
          <w:p>
            <w:pPr>
              <w:keepNext w:val="0"/>
              <w:widowControl/>
              <w:spacing w:line="240" w:lineRule="auto"/>
              <w:ind w:left="-140" w:leftChars="-50" w:right="-140" w:rightChars="-50" w:firstLine="0" w:firstLineChars="0"/>
              <w:jc w:val="both"/>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超标原因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587" w:hRule="atLeast"/>
        </w:trPr>
        <w:tc>
          <w:tcPr>
            <w:tcW w:w="495" w:type="dxa"/>
            <w:vMerge w:val="continue"/>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p>
        </w:tc>
        <w:tc>
          <w:tcPr>
            <w:tcW w:w="1488" w:type="dxa"/>
            <w:vMerge w:val="continue"/>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p>
        </w:tc>
        <w:tc>
          <w:tcPr>
            <w:tcW w:w="858" w:type="dxa"/>
            <w:vMerge w:val="continue"/>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p>
        </w:tc>
        <w:tc>
          <w:tcPr>
            <w:tcW w:w="1116" w:type="dxa"/>
            <w:vMerge w:val="continue"/>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p>
        </w:tc>
        <w:tc>
          <w:tcPr>
            <w:tcW w:w="753" w:type="dxa"/>
            <w:vMerge w:val="continue"/>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p>
        </w:tc>
        <w:tc>
          <w:tcPr>
            <w:tcW w:w="718" w:type="dxa"/>
            <w:vMerge w:val="continue"/>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p>
        </w:tc>
        <w:tc>
          <w:tcPr>
            <w:tcW w:w="1432" w:type="dxa"/>
            <w:vMerge w:val="continue"/>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p>
        </w:tc>
        <w:tc>
          <w:tcPr>
            <w:tcW w:w="1432" w:type="dxa"/>
            <w:vMerge w:val="continue"/>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p>
        </w:tc>
        <w:tc>
          <w:tcPr>
            <w:tcW w:w="949"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bidi="ar"/>
              </w:rPr>
              <w:t>2016年</w:t>
            </w:r>
          </w:p>
        </w:tc>
        <w:tc>
          <w:tcPr>
            <w:tcW w:w="949"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bidi="ar"/>
              </w:rPr>
              <w:t>2017年</w:t>
            </w:r>
          </w:p>
        </w:tc>
        <w:tc>
          <w:tcPr>
            <w:tcW w:w="952"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bidi="ar"/>
              </w:rPr>
              <w:t>2018年</w:t>
            </w:r>
          </w:p>
        </w:tc>
        <w:tc>
          <w:tcPr>
            <w:tcW w:w="949"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bidi="ar"/>
              </w:rPr>
              <w:t>2019年</w:t>
            </w:r>
          </w:p>
        </w:tc>
        <w:tc>
          <w:tcPr>
            <w:tcW w:w="984" w:type="dxa"/>
            <w:shd w:val="clear" w:color="auto" w:fill="auto"/>
            <w:vAlign w:val="center"/>
          </w:tcPr>
          <w:p>
            <w:pPr>
              <w:keepNext w:val="0"/>
              <w:widowControl/>
              <w:spacing w:line="240" w:lineRule="auto"/>
              <w:ind w:left="-140" w:leftChars="-50" w:right="-140" w:rightChars="-50" w:firstLine="0" w:firstLineChars="0"/>
              <w:jc w:val="center"/>
              <w:rPr>
                <w:rFonts w:hint="default"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2020年</w:t>
            </w:r>
          </w:p>
        </w:tc>
        <w:tc>
          <w:tcPr>
            <w:tcW w:w="786" w:type="dxa"/>
            <w:vMerge w:val="continue"/>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p>
        </w:tc>
        <w:tc>
          <w:tcPr>
            <w:tcW w:w="774" w:type="dxa"/>
            <w:vMerge w:val="continue"/>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74" w:hRule="atLeast"/>
        </w:trPr>
        <w:tc>
          <w:tcPr>
            <w:tcW w:w="495" w:type="dxa"/>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1</w:t>
            </w:r>
          </w:p>
        </w:tc>
        <w:tc>
          <w:tcPr>
            <w:tcW w:w="1488" w:type="dxa"/>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策勒县水厂水源地</w:t>
            </w:r>
          </w:p>
        </w:tc>
        <w:tc>
          <w:tcPr>
            <w:tcW w:w="858" w:type="dxa"/>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策勒县</w:t>
            </w:r>
          </w:p>
        </w:tc>
        <w:tc>
          <w:tcPr>
            <w:tcW w:w="1116" w:type="dxa"/>
            <w:shd w:val="clear" w:color="auto" w:fill="auto"/>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克里雅河诸小河流域</w:t>
            </w:r>
          </w:p>
        </w:tc>
        <w:tc>
          <w:tcPr>
            <w:tcW w:w="753"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策勒河</w:t>
            </w:r>
          </w:p>
        </w:tc>
        <w:tc>
          <w:tcPr>
            <w:tcW w:w="718"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地下水</w:t>
            </w:r>
          </w:p>
        </w:tc>
        <w:tc>
          <w:tcPr>
            <w:tcW w:w="1432"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80.798250</w:t>
            </w:r>
          </w:p>
        </w:tc>
        <w:tc>
          <w:tcPr>
            <w:tcW w:w="1432"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36.971361</w:t>
            </w:r>
          </w:p>
        </w:tc>
        <w:tc>
          <w:tcPr>
            <w:tcW w:w="949"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bidi="ar"/>
              </w:rPr>
              <w:t>Ⅲ</w:t>
            </w:r>
          </w:p>
        </w:tc>
        <w:tc>
          <w:tcPr>
            <w:tcW w:w="949"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bidi="ar"/>
              </w:rPr>
              <w:t>Ⅲ</w:t>
            </w:r>
          </w:p>
        </w:tc>
        <w:tc>
          <w:tcPr>
            <w:tcW w:w="952"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bidi="ar"/>
              </w:rPr>
              <w:t>Ⅲ</w:t>
            </w:r>
          </w:p>
        </w:tc>
        <w:tc>
          <w:tcPr>
            <w:tcW w:w="949"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bidi="ar"/>
              </w:rPr>
              <w:t>Ⅲ</w:t>
            </w:r>
          </w:p>
        </w:tc>
        <w:tc>
          <w:tcPr>
            <w:tcW w:w="984"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Ⅲ</w:t>
            </w:r>
          </w:p>
        </w:tc>
        <w:tc>
          <w:tcPr>
            <w:tcW w:w="786"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w:t>
            </w:r>
          </w:p>
        </w:tc>
        <w:tc>
          <w:tcPr>
            <w:tcW w:w="774"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015" w:hRule="atLeast"/>
        </w:trPr>
        <w:tc>
          <w:tcPr>
            <w:tcW w:w="495" w:type="dxa"/>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2</w:t>
            </w:r>
          </w:p>
        </w:tc>
        <w:tc>
          <w:tcPr>
            <w:tcW w:w="1488" w:type="dxa"/>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策勒县乡镇供水总厂水源地</w:t>
            </w:r>
          </w:p>
        </w:tc>
        <w:tc>
          <w:tcPr>
            <w:tcW w:w="858" w:type="dxa"/>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策勒县</w:t>
            </w:r>
          </w:p>
        </w:tc>
        <w:tc>
          <w:tcPr>
            <w:tcW w:w="1116" w:type="dxa"/>
            <w:shd w:val="clear" w:color="auto" w:fill="auto"/>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克里雅河诸小河流域</w:t>
            </w:r>
          </w:p>
        </w:tc>
        <w:tc>
          <w:tcPr>
            <w:tcW w:w="753"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策勒河</w:t>
            </w:r>
          </w:p>
        </w:tc>
        <w:tc>
          <w:tcPr>
            <w:tcW w:w="718"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地表水</w:t>
            </w:r>
          </w:p>
        </w:tc>
        <w:tc>
          <w:tcPr>
            <w:tcW w:w="1432"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80.795778</w:t>
            </w:r>
          </w:p>
        </w:tc>
        <w:tc>
          <w:tcPr>
            <w:tcW w:w="1432"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36.935472</w:t>
            </w:r>
          </w:p>
        </w:tc>
        <w:tc>
          <w:tcPr>
            <w:tcW w:w="949"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bidi="ar"/>
              </w:rPr>
              <w:t>Ⅲ</w:t>
            </w:r>
          </w:p>
        </w:tc>
        <w:tc>
          <w:tcPr>
            <w:tcW w:w="949"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bidi="ar"/>
              </w:rPr>
              <w:t>Ⅰ</w:t>
            </w:r>
          </w:p>
        </w:tc>
        <w:tc>
          <w:tcPr>
            <w:tcW w:w="952"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bidi="ar"/>
              </w:rPr>
              <w:t>Ⅱ</w:t>
            </w:r>
          </w:p>
        </w:tc>
        <w:tc>
          <w:tcPr>
            <w:tcW w:w="949"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bidi="ar"/>
              </w:rPr>
              <w:t>Ⅱ</w:t>
            </w:r>
          </w:p>
        </w:tc>
        <w:tc>
          <w:tcPr>
            <w:tcW w:w="984"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Ⅱ</w:t>
            </w:r>
          </w:p>
        </w:tc>
        <w:tc>
          <w:tcPr>
            <w:tcW w:w="786"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w:t>
            </w:r>
          </w:p>
        </w:tc>
        <w:tc>
          <w:tcPr>
            <w:tcW w:w="774"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w:t>
            </w:r>
          </w:p>
        </w:tc>
      </w:tr>
    </w:tbl>
    <w:p>
      <w:pPr>
        <w:keepNext w:val="0"/>
        <w:spacing w:before="156" w:beforeLines="50" w:line="240" w:lineRule="auto"/>
        <w:ind w:firstLine="0" w:firstLineChars="0"/>
        <w:jc w:val="center"/>
        <w:rPr>
          <w:rFonts w:hint="eastAsia" w:ascii="仿宋" w:hAnsi="仿宋" w:eastAsia="仿宋" w:cs="仿宋"/>
          <w:b/>
          <w:bCs/>
          <w:color w:val="auto"/>
          <w:kern w:val="2"/>
          <w:sz w:val="24"/>
          <w:szCs w:val="24"/>
          <w:highlight w:val="none"/>
          <w:lang w:val="en-US" w:eastAsia="zh-CN" w:bidi="ar-SA"/>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95" w:charSpace="0"/>
        </w:sectPr>
      </w:pPr>
    </w:p>
    <w:p>
      <w:pPr>
        <w:spacing w:before="266" w:line="360" w:lineRule="auto"/>
        <w:outlineLvl w:val="2"/>
        <w:rPr>
          <w:rFonts w:hint="eastAsia" w:ascii="Times New Roman" w:hAnsi="Times New Roman" w:eastAsia="仿宋" w:cs="Times New Roman"/>
          <w:b/>
          <w:bCs/>
          <w:color w:val="auto"/>
          <w:spacing w:val="5"/>
          <w:sz w:val="32"/>
          <w:szCs w:val="32"/>
          <w:highlight w:val="none"/>
          <w:lang w:val="en-US" w:eastAsia="zh-CN"/>
        </w:rPr>
      </w:pPr>
      <w:bookmarkStart w:id="26" w:name="_Toc28196"/>
      <w:bookmarkStart w:id="27" w:name="_Toc3356"/>
      <w:bookmarkStart w:id="28" w:name="_Toc18761"/>
      <w:bookmarkStart w:id="29" w:name="_Toc30496"/>
      <w:r>
        <w:rPr>
          <w:rFonts w:hint="eastAsia" w:ascii="Times New Roman" w:hAnsi="Times New Roman" w:eastAsia="仿宋" w:cs="Times New Roman"/>
          <w:b/>
          <w:bCs/>
          <w:color w:val="auto"/>
          <w:spacing w:val="5"/>
          <w:sz w:val="32"/>
          <w:szCs w:val="32"/>
          <w:highlight w:val="none"/>
          <w:lang w:val="en-US" w:eastAsia="zh-CN"/>
        </w:rPr>
        <w:t>2.水污染排放</w:t>
      </w:r>
      <w:bookmarkEnd w:id="26"/>
      <w:r>
        <w:rPr>
          <w:rFonts w:hint="eastAsia" w:ascii="Times New Roman" w:hAnsi="Times New Roman" w:eastAsia="仿宋" w:cs="Times New Roman"/>
          <w:b/>
          <w:bCs/>
          <w:color w:val="auto"/>
          <w:spacing w:val="5"/>
          <w:sz w:val="32"/>
          <w:szCs w:val="32"/>
          <w:highlight w:val="none"/>
          <w:lang w:val="en-US" w:eastAsia="zh-CN"/>
        </w:rPr>
        <w:t>分析</w:t>
      </w:r>
      <w:bookmarkEnd w:id="27"/>
      <w:bookmarkEnd w:id="28"/>
    </w:p>
    <w:bookmarkEnd w:id="29"/>
    <w:p>
      <w:pPr>
        <w:widowControl/>
        <w:tabs>
          <w:tab w:val="left" w:pos="1526"/>
        </w:tabs>
        <w:snapToGrid w:val="0"/>
        <w:spacing w:line="560" w:lineRule="exact"/>
        <w:ind w:firstLine="640" w:firstLineChars="200"/>
        <w:jc w:val="both"/>
        <w:rPr>
          <w:rFonts w:hint="eastAsia" w:ascii="Times New Roman" w:hAnsi="Times New Roman" w:eastAsia="仿宋_GB2312"/>
          <w:color w:val="auto"/>
          <w:sz w:val="32"/>
          <w:szCs w:val="32"/>
          <w:highlight w:val="none"/>
          <w:lang w:val="en-US" w:eastAsia="zh-CN"/>
        </w:rPr>
      </w:pPr>
      <w:bookmarkStart w:id="30" w:name="_Toc3832"/>
      <w:r>
        <w:rPr>
          <w:rFonts w:hint="eastAsia" w:ascii="Times New Roman" w:hAnsi="Times New Roman" w:eastAsia="仿宋_GB2312"/>
          <w:color w:val="auto"/>
          <w:sz w:val="32"/>
          <w:szCs w:val="32"/>
          <w:highlight w:val="none"/>
          <w:lang w:val="en-US" w:eastAsia="zh-CN"/>
        </w:rPr>
        <w:t>（1）城镇生活</w:t>
      </w:r>
      <w:bookmarkEnd w:id="30"/>
    </w:p>
    <w:p>
      <w:pPr>
        <w:widowControl/>
        <w:tabs>
          <w:tab w:val="left" w:pos="1526"/>
        </w:tabs>
        <w:snapToGrid w:val="0"/>
        <w:spacing w:line="560" w:lineRule="exact"/>
        <w:ind w:firstLine="640" w:firstLineChars="200"/>
        <w:jc w:val="both"/>
        <w:rPr>
          <w:rFonts w:hint="eastAsia" w:ascii="Times New Roman" w:hAnsi="Times New Roman" w:eastAsia="仿宋_GB2312"/>
          <w:color w:val="auto"/>
          <w:sz w:val="32"/>
          <w:szCs w:val="32"/>
          <w:highlight w:val="none"/>
          <w:lang w:val="en-US" w:eastAsia="zh-CN"/>
        </w:rPr>
      </w:pPr>
      <w:r>
        <w:rPr>
          <w:rFonts w:hint="eastAsia" w:ascii="Times New Roman" w:hAnsi="Times New Roman" w:eastAsia="仿宋_GB2312"/>
          <w:color w:val="auto"/>
          <w:sz w:val="32"/>
          <w:szCs w:val="32"/>
          <w:highlight w:val="none"/>
          <w:lang w:val="en-US" w:eastAsia="zh-CN"/>
        </w:rPr>
        <w:t>根据住建局提供2020年策勒县城镇集中式生活污水处理厂有1处，设计处理量为1万m</w:t>
      </w:r>
      <w:r>
        <w:rPr>
          <w:rFonts w:hint="eastAsia" w:ascii="Times New Roman" w:hAnsi="Times New Roman" w:eastAsia="仿宋_GB2312"/>
          <w:color w:val="auto"/>
          <w:sz w:val="32"/>
          <w:szCs w:val="32"/>
          <w:highlight w:val="none"/>
          <w:vertAlign w:val="superscript"/>
          <w:lang w:val="en-US" w:eastAsia="zh-CN"/>
        </w:rPr>
        <w:t>3</w:t>
      </w:r>
      <w:r>
        <w:rPr>
          <w:rFonts w:hint="eastAsia" w:ascii="Times New Roman" w:hAnsi="Times New Roman" w:eastAsia="仿宋_GB2312"/>
          <w:color w:val="auto"/>
          <w:sz w:val="32"/>
          <w:szCs w:val="32"/>
          <w:highlight w:val="none"/>
          <w:lang w:val="en-US" w:eastAsia="zh-CN"/>
        </w:rPr>
        <w:t>/d，实际处理量6637m</w:t>
      </w:r>
      <w:r>
        <w:rPr>
          <w:rFonts w:hint="eastAsia" w:ascii="Times New Roman" w:hAnsi="Times New Roman" w:eastAsia="仿宋_GB2312"/>
          <w:color w:val="auto"/>
          <w:sz w:val="32"/>
          <w:szCs w:val="32"/>
          <w:highlight w:val="none"/>
          <w:vertAlign w:val="superscript"/>
          <w:lang w:val="en-US" w:eastAsia="zh-CN"/>
        </w:rPr>
        <w:t>3</w:t>
      </w:r>
      <w:r>
        <w:rPr>
          <w:rFonts w:hint="eastAsia" w:ascii="Times New Roman" w:hAnsi="Times New Roman" w:eastAsia="仿宋_GB2312"/>
          <w:color w:val="auto"/>
          <w:sz w:val="32"/>
          <w:szCs w:val="32"/>
          <w:highlight w:val="none"/>
          <w:lang w:val="en-US" w:eastAsia="zh-CN"/>
        </w:rPr>
        <w:t>/d，生活污水年处理量242.28万t/a。</w:t>
      </w:r>
    </w:p>
    <w:p>
      <w:pPr>
        <w:jc w:val="center"/>
        <w:rPr>
          <w:rFonts w:ascii="Times New Roman" w:hAnsi="Times New Roman" w:eastAsia="仿宋_GB2312"/>
          <w:b/>
          <w:color w:val="auto"/>
          <w:spacing w:val="-4"/>
          <w:sz w:val="24"/>
          <w:szCs w:val="24"/>
          <w:highlight w:val="none"/>
        </w:rPr>
      </w:pPr>
      <w:r>
        <w:rPr>
          <w:rFonts w:ascii="Times New Roman" w:hAnsi="Times New Roman" w:eastAsia="仿宋_GB2312"/>
          <w:b/>
          <w:color w:val="auto"/>
          <w:spacing w:val="-4"/>
          <w:sz w:val="24"/>
          <w:szCs w:val="24"/>
          <w:highlight w:val="none"/>
        </w:rPr>
        <w:t>表2</w:t>
      </w:r>
      <w:r>
        <w:rPr>
          <w:rFonts w:hint="eastAsia" w:ascii="Times New Roman" w:hAnsi="Times New Roman" w:eastAsia="仿宋_GB2312"/>
          <w:b/>
          <w:color w:val="auto"/>
          <w:spacing w:val="-4"/>
          <w:sz w:val="24"/>
          <w:szCs w:val="24"/>
          <w:highlight w:val="none"/>
          <w:lang w:val="en-US" w:eastAsia="zh-CN"/>
        </w:rPr>
        <w:t>.1</w:t>
      </w:r>
      <w:r>
        <w:rPr>
          <w:rFonts w:ascii="Times New Roman" w:hAnsi="Times New Roman" w:eastAsia="仿宋_GB2312"/>
          <w:b/>
          <w:color w:val="auto"/>
          <w:spacing w:val="-4"/>
          <w:sz w:val="24"/>
          <w:szCs w:val="24"/>
          <w:highlight w:val="none"/>
        </w:rPr>
        <w:t>-</w:t>
      </w:r>
      <w:r>
        <w:rPr>
          <w:rFonts w:hint="eastAsia" w:ascii="Times New Roman" w:hAnsi="Times New Roman" w:eastAsia="仿宋_GB2312"/>
          <w:b/>
          <w:color w:val="auto"/>
          <w:spacing w:val="-4"/>
          <w:sz w:val="24"/>
          <w:szCs w:val="24"/>
          <w:highlight w:val="none"/>
          <w:lang w:val="en-US" w:eastAsia="zh-CN"/>
        </w:rPr>
        <w:t>7</w:t>
      </w:r>
      <w:r>
        <w:rPr>
          <w:rFonts w:hint="eastAsia" w:ascii="Times New Roman" w:hAnsi="Times New Roman" w:eastAsia="仿宋_GB2312"/>
          <w:b/>
          <w:color w:val="auto"/>
          <w:spacing w:val="-4"/>
          <w:sz w:val="24"/>
          <w:szCs w:val="24"/>
          <w:highlight w:val="none"/>
        </w:rPr>
        <w:t xml:space="preserve">  </w:t>
      </w:r>
      <w:r>
        <w:rPr>
          <w:rFonts w:hint="eastAsia" w:ascii="Times New Roman" w:hAnsi="Times New Roman" w:eastAsia="仿宋_GB2312"/>
          <w:b/>
          <w:color w:val="auto"/>
          <w:spacing w:val="-4"/>
          <w:sz w:val="24"/>
          <w:szCs w:val="24"/>
          <w:highlight w:val="none"/>
          <w:lang w:eastAsia="zh-CN"/>
        </w:rPr>
        <w:t>策勒县</w:t>
      </w:r>
      <w:r>
        <w:rPr>
          <w:rFonts w:ascii="Times New Roman" w:hAnsi="Times New Roman" w:eastAsia="仿宋_GB2312"/>
          <w:b/>
          <w:color w:val="auto"/>
          <w:spacing w:val="-4"/>
          <w:sz w:val="24"/>
          <w:szCs w:val="24"/>
          <w:highlight w:val="none"/>
        </w:rPr>
        <w:t>城镇生活源产生和排放情况</w:t>
      </w:r>
    </w:p>
    <w:tbl>
      <w:tblPr>
        <w:tblStyle w:val="26"/>
        <w:tblW w:w="8679" w:type="dxa"/>
        <w:tblInd w:w="0" w:type="dxa"/>
        <w:tblLayout w:type="fixed"/>
        <w:tblCellMar>
          <w:top w:w="0" w:type="dxa"/>
          <w:left w:w="28" w:type="dxa"/>
          <w:bottom w:w="0" w:type="dxa"/>
          <w:right w:w="28" w:type="dxa"/>
        </w:tblCellMar>
      </w:tblPr>
      <w:tblGrid>
        <w:gridCol w:w="724"/>
        <w:gridCol w:w="1890"/>
        <w:gridCol w:w="1010"/>
        <w:gridCol w:w="1219"/>
        <w:gridCol w:w="847"/>
        <w:gridCol w:w="960"/>
        <w:gridCol w:w="1010"/>
        <w:gridCol w:w="1019"/>
      </w:tblGrid>
      <w:tr>
        <w:tblPrEx>
          <w:tblLayout w:type="fixed"/>
          <w:tblCellMar>
            <w:top w:w="0" w:type="dxa"/>
            <w:left w:w="28" w:type="dxa"/>
            <w:bottom w:w="0" w:type="dxa"/>
            <w:right w:w="28" w:type="dxa"/>
          </w:tblCellMar>
        </w:tblPrEx>
        <w:trPr>
          <w:trHeight w:val="319" w:hRule="atLeast"/>
        </w:trPr>
        <w:tc>
          <w:tcPr>
            <w:tcW w:w="72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县区</w:t>
            </w:r>
          </w:p>
        </w:tc>
        <w:tc>
          <w:tcPr>
            <w:tcW w:w="189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生活污水排放量（万t/a）</w:t>
            </w:r>
          </w:p>
        </w:tc>
        <w:tc>
          <w:tcPr>
            <w:tcW w:w="6065" w:type="dxa"/>
            <w:gridSpan w:val="6"/>
            <w:tcBorders>
              <w:top w:val="single" w:color="auto" w:sz="4" w:space="0"/>
              <w:left w:val="nil"/>
              <w:bottom w:val="single" w:color="auto" w:sz="4" w:space="0"/>
              <w:right w:val="single" w:color="auto" w:sz="4" w:space="0"/>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城镇生活源负荷（t/a）</w:t>
            </w:r>
          </w:p>
        </w:tc>
      </w:tr>
      <w:tr>
        <w:tblPrEx>
          <w:tblLayout w:type="fixed"/>
          <w:tblCellMar>
            <w:top w:w="0" w:type="dxa"/>
            <w:left w:w="28" w:type="dxa"/>
            <w:bottom w:w="0" w:type="dxa"/>
            <w:right w:w="28" w:type="dxa"/>
          </w:tblCellMar>
        </w:tblPrEx>
        <w:trPr>
          <w:trHeight w:val="629" w:hRule="atLeast"/>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p>
        </w:tc>
        <w:tc>
          <w:tcPr>
            <w:tcW w:w="1890" w:type="dxa"/>
            <w:vMerge w:val="continue"/>
            <w:tcBorders>
              <w:top w:val="single" w:color="auto" w:sz="4" w:space="0"/>
              <w:left w:val="single" w:color="auto" w:sz="4" w:space="0"/>
              <w:bottom w:val="single" w:color="auto" w:sz="4" w:space="0"/>
              <w:right w:val="single" w:color="auto" w:sz="4" w:space="0"/>
            </w:tcBorders>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p>
        </w:tc>
        <w:tc>
          <w:tcPr>
            <w:tcW w:w="1010" w:type="dxa"/>
            <w:tcBorders>
              <w:top w:val="nil"/>
              <w:left w:val="nil"/>
              <w:bottom w:val="single" w:color="auto" w:sz="4" w:space="0"/>
              <w:right w:val="single" w:color="auto" w:sz="4" w:space="0"/>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化学需氧量产生量</w:t>
            </w:r>
          </w:p>
        </w:tc>
        <w:tc>
          <w:tcPr>
            <w:tcW w:w="1219" w:type="dxa"/>
            <w:tcBorders>
              <w:top w:val="nil"/>
              <w:left w:val="nil"/>
              <w:bottom w:val="single" w:color="auto" w:sz="4" w:space="0"/>
              <w:right w:val="single" w:color="auto" w:sz="4" w:space="0"/>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化学需氧量排放量</w:t>
            </w:r>
          </w:p>
        </w:tc>
        <w:tc>
          <w:tcPr>
            <w:tcW w:w="847" w:type="dxa"/>
            <w:tcBorders>
              <w:top w:val="nil"/>
              <w:left w:val="nil"/>
              <w:bottom w:val="single" w:color="auto" w:sz="4" w:space="0"/>
              <w:right w:val="single" w:color="auto" w:sz="4" w:space="0"/>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氨氮产生量</w:t>
            </w:r>
          </w:p>
        </w:tc>
        <w:tc>
          <w:tcPr>
            <w:tcW w:w="960" w:type="dxa"/>
            <w:tcBorders>
              <w:top w:val="nil"/>
              <w:left w:val="nil"/>
              <w:bottom w:val="single" w:color="auto" w:sz="4" w:space="0"/>
              <w:right w:val="single" w:color="auto" w:sz="4" w:space="0"/>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氨氮排放量</w:t>
            </w:r>
          </w:p>
        </w:tc>
        <w:tc>
          <w:tcPr>
            <w:tcW w:w="1010" w:type="dxa"/>
            <w:tcBorders>
              <w:top w:val="nil"/>
              <w:left w:val="nil"/>
              <w:bottom w:val="single" w:color="auto" w:sz="4" w:space="0"/>
              <w:right w:val="single" w:color="auto" w:sz="4" w:space="0"/>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总磷产生量</w:t>
            </w:r>
          </w:p>
        </w:tc>
        <w:tc>
          <w:tcPr>
            <w:tcW w:w="1019" w:type="dxa"/>
            <w:tcBorders>
              <w:top w:val="nil"/>
              <w:left w:val="nil"/>
              <w:bottom w:val="single" w:color="auto" w:sz="4" w:space="0"/>
              <w:right w:val="single" w:color="auto" w:sz="4" w:space="0"/>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总磷排放量</w:t>
            </w:r>
          </w:p>
        </w:tc>
      </w:tr>
      <w:tr>
        <w:tblPrEx>
          <w:tblLayout w:type="fixed"/>
          <w:tblCellMar>
            <w:top w:w="0" w:type="dxa"/>
            <w:left w:w="28" w:type="dxa"/>
            <w:bottom w:w="0" w:type="dxa"/>
            <w:right w:w="28" w:type="dxa"/>
          </w:tblCellMar>
        </w:tblPrEx>
        <w:trPr>
          <w:trHeight w:val="330" w:hRule="atLeast"/>
        </w:trPr>
        <w:tc>
          <w:tcPr>
            <w:tcW w:w="724" w:type="dxa"/>
            <w:tcBorders>
              <w:top w:val="nil"/>
              <w:left w:val="single" w:color="auto" w:sz="4" w:space="0"/>
              <w:bottom w:val="single" w:color="auto" w:sz="4" w:space="0"/>
              <w:right w:val="single" w:color="auto" w:sz="4" w:space="0"/>
            </w:tcBorders>
            <w:shd w:val="clear" w:color="auto" w:fill="auto"/>
            <w:noWrap/>
            <w:tcMar>
              <w:left w:w="11" w:type="dxa"/>
              <w:right w:w="11" w:type="dxa"/>
            </w:tcMar>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策勒县</w:t>
            </w:r>
          </w:p>
        </w:tc>
        <w:tc>
          <w:tcPr>
            <w:tcW w:w="1890" w:type="dxa"/>
            <w:tcBorders>
              <w:top w:val="nil"/>
              <w:left w:val="nil"/>
              <w:bottom w:val="single" w:color="auto" w:sz="4" w:space="0"/>
              <w:right w:val="single" w:color="auto" w:sz="4" w:space="0"/>
            </w:tcBorders>
            <w:shd w:val="clear" w:color="auto" w:fill="auto"/>
            <w:noWrap/>
            <w:tcMar>
              <w:left w:w="11" w:type="dxa"/>
              <w:right w:w="11" w:type="dxa"/>
            </w:tcMar>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242.28</w:t>
            </w:r>
          </w:p>
        </w:tc>
        <w:tc>
          <w:tcPr>
            <w:tcW w:w="1010" w:type="dxa"/>
            <w:tcBorders>
              <w:top w:val="nil"/>
              <w:left w:val="nil"/>
              <w:bottom w:val="single" w:color="auto" w:sz="4" w:space="0"/>
              <w:right w:val="single" w:color="auto" w:sz="4" w:space="0"/>
            </w:tcBorders>
            <w:shd w:val="clear" w:color="auto" w:fill="auto"/>
            <w:noWrap/>
            <w:tcMar>
              <w:left w:w="11" w:type="dxa"/>
              <w:right w:w="11" w:type="dxa"/>
            </w:tcMar>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1077</w:t>
            </w:r>
          </w:p>
        </w:tc>
        <w:tc>
          <w:tcPr>
            <w:tcW w:w="1219" w:type="dxa"/>
            <w:tcBorders>
              <w:top w:val="nil"/>
              <w:left w:val="nil"/>
              <w:bottom w:val="single" w:color="auto" w:sz="4" w:space="0"/>
              <w:right w:val="single" w:color="auto" w:sz="4" w:space="0"/>
            </w:tcBorders>
            <w:shd w:val="clear" w:color="auto" w:fill="auto"/>
            <w:noWrap/>
            <w:tcMar>
              <w:left w:w="11" w:type="dxa"/>
              <w:right w:w="11" w:type="dxa"/>
            </w:tcMar>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282.42</w:t>
            </w:r>
          </w:p>
        </w:tc>
        <w:tc>
          <w:tcPr>
            <w:tcW w:w="847" w:type="dxa"/>
            <w:tcBorders>
              <w:top w:val="nil"/>
              <w:left w:val="nil"/>
              <w:bottom w:val="single" w:color="auto" w:sz="4" w:space="0"/>
              <w:right w:val="single" w:color="auto" w:sz="4" w:space="0"/>
            </w:tcBorders>
            <w:shd w:val="clear" w:color="auto" w:fill="auto"/>
            <w:noWrap/>
            <w:tcMar>
              <w:left w:w="11" w:type="dxa"/>
              <w:right w:w="11" w:type="dxa"/>
            </w:tcMar>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124.89</w:t>
            </w:r>
          </w:p>
        </w:tc>
        <w:tc>
          <w:tcPr>
            <w:tcW w:w="960" w:type="dxa"/>
            <w:tcBorders>
              <w:top w:val="nil"/>
              <w:left w:val="nil"/>
              <w:bottom w:val="single" w:color="auto" w:sz="4" w:space="0"/>
              <w:right w:val="single" w:color="auto" w:sz="4" w:space="0"/>
            </w:tcBorders>
            <w:shd w:val="clear" w:color="auto" w:fill="auto"/>
            <w:noWrap/>
            <w:tcMar>
              <w:left w:w="11" w:type="dxa"/>
              <w:right w:w="11" w:type="dxa"/>
            </w:tcMar>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27.9</w:t>
            </w:r>
          </w:p>
        </w:tc>
        <w:tc>
          <w:tcPr>
            <w:tcW w:w="1010" w:type="dxa"/>
            <w:tcBorders>
              <w:top w:val="nil"/>
              <w:left w:val="nil"/>
              <w:bottom w:val="single" w:color="auto" w:sz="4" w:space="0"/>
              <w:right w:val="single" w:color="auto" w:sz="4" w:space="0"/>
            </w:tcBorders>
            <w:shd w:val="clear" w:color="auto" w:fill="auto"/>
            <w:noWrap/>
            <w:tcMar>
              <w:left w:w="11" w:type="dxa"/>
              <w:right w:w="11" w:type="dxa"/>
            </w:tcMar>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11.73</w:t>
            </w:r>
          </w:p>
        </w:tc>
        <w:tc>
          <w:tcPr>
            <w:tcW w:w="1019" w:type="dxa"/>
            <w:tcBorders>
              <w:top w:val="nil"/>
              <w:left w:val="nil"/>
              <w:bottom w:val="single" w:color="auto" w:sz="4" w:space="0"/>
              <w:right w:val="single" w:color="auto" w:sz="4" w:space="0"/>
            </w:tcBorders>
            <w:shd w:val="clear" w:color="auto" w:fill="auto"/>
            <w:noWrap/>
            <w:tcMar>
              <w:left w:w="11" w:type="dxa"/>
              <w:right w:w="11" w:type="dxa"/>
            </w:tcMar>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1.68</w:t>
            </w:r>
          </w:p>
        </w:tc>
      </w:tr>
    </w:tbl>
    <w:p>
      <w:pPr>
        <w:widowControl w:val="0"/>
        <w:adjustRightInd w:val="0"/>
        <w:snapToGrid w:val="0"/>
        <w:spacing w:after="0" w:line="240" w:lineRule="auto"/>
        <w:ind w:firstLine="0" w:firstLineChars="0"/>
        <w:jc w:val="center"/>
        <w:rPr>
          <w:rFonts w:ascii="Times New Roman" w:hAnsi="Times New Roman" w:eastAsia="宋体" w:cs="Times New Roman"/>
          <w:color w:val="auto"/>
          <w:kern w:val="2"/>
          <w:sz w:val="24"/>
          <w:szCs w:val="24"/>
          <w:highlight w:val="none"/>
          <w:lang w:val="en-US" w:eastAsia="zh-CN" w:bidi="ar-SA"/>
        </w:rPr>
      </w:pPr>
    </w:p>
    <w:p>
      <w:pPr>
        <w:spacing w:before="156" w:after="156" w:afterLines="50"/>
        <w:ind w:firstLine="640" w:firstLineChars="200"/>
        <w:rPr>
          <w:rFonts w:hint="eastAsia" w:ascii="Times New Roman" w:hAnsi="Times New Roman" w:eastAsia="仿宋_GB2312"/>
          <w:color w:val="auto"/>
          <w:sz w:val="32"/>
          <w:szCs w:val="32"/>
          <w:highlight w:val="none"/>
          <w:lang w:val="en-US" w:eastAsia="zh-CN"/>
        </w:rPr>
      </w:pPr>
      <w:bookmarkStart w:id="31" w:name="_Toc27815"/>
      <w:r>
        <w:rPr>
          <w:rFonts w:hint="eastAsia" w:ascii="Times New Roman" w:hAnsi="Times New Roman" w:eastAsia="仿宋_GB2312"/>
          <w:color w:val="auto"/>
          <w:sz w:val="32"/>
          <w:szCs w:val="32"/>
          <w:highlight w:val="none"/>
          <w:lang w:val="en-US" w:eastAsia="zh-CN"/>
        </w:rPr>
        <w:t>（2）</w:t>
      </w:r>
      <w:bookmarkEnd w:id="31"/>
      <w:r>
        <w:rPr>
          <w:rFonts w:hint="eastAsia" w:ascii="Times New Roman" w:hAnsi="Times New Roman" w:eastAsia="仿宋_GB2312"/>
          <w:color w:val="auto"/>
          <w:sz w:val="32"/>
          <w:szCs w:val="32"/>
          <w:highlight w:val="none"/>
          <w:lang w:val="en-US" w:eastAsia="zh-CN"/>
        </w:rPr>
        <w:t>畜禽养殖</w:t>
      </w:r>
    </w:p>
    <w:p>
      <w:pPr>
        <w:spacing w:before="156" w:after="156" w:afterLines="50"/>
        <w:ind w:firstLine="640" w:firstLineChars="200"/>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根据</w:t>
      </w:r>
      <w:r>
        <w:rPr>
          <w:rFonts w:hint="eastAsia" w:ascii="Times New Roman" w:hAnsi="Times New Roman" w:eastAsia="仿宋_GB2312"/>
          <w:color w:val="auto"/>
          <w:sz w:val="32"/>
          <w:szCs w:val="32"/>
          <w:highlight w:val="none"/>
          <w:lang w:eastAsia="zh-CN"/>
        </w:rPr>
        <w:t>策勒县</w:t>
      </w:r>
      <w:r>
        <w:rPr>
          <w:rFonts w:ascii="Times New Roman" w:hAnsi="Times New Roman" w:eastAsia="仿宋_GB2312"/>
          <w:color w:val="auto"/>
          <w:sz w:val="32"/>
          <w:szCs w:val="32"/>
          <w:highlight w:val="none"/>
        </w:rPr>
        <w:t>第二次污染源普查数据，详见表</w:t>
      </w:r>
      <w:r>
        <w:rPr>
          <w:rFonts w:hint="eastAsia" w:ascii="Times New Roman" w:hAnsi="Times New Roman" w:eastAsia="仿宋_GB2312"/>
          <w:color w:val="auto"/>
          <w:sz w:val="32"/>
          <w:szCs w:val="32"/>
          <w:highlight w:val="none"/>
          <w:lang w:val="en-US" w:eastAsia="zh-CN"/>
        </w:rPr>
        <w:t>2.1-8</w:t>
      </w:r>
      <w:r>
        <w:rPr>
          <w:rFonts w:ascii="Times New Roman" w:hAnsi="Times New Roman" w:eastAsia="仿宋_GB2312"/>
          <w:color w:val="auto"/>
          <w:sz w:val="32"/>
          <w:szCs w:val="32"/>
          <w:highlight w:val="none"/>
        </w:rPr>
        <w:t>。</w:t>
      </w:r>
    </w:p>
    <w:p>
      <w:pPr>
        <w:ind w:firstLine="482"/>
        <w:jc w:val="center"/>
        <w:rPr>
          <w:rFonts w:ascii="Times New Roman" w:hAnsi="Times New Roman" w:eastAsia="仿宋_GB2312"/>
          <w:b/>
          <w:color w:val="auto"/>
          <w:spacing w:val="-4"/>
          <w:sz w:val="24"/>
          <w:szCs w:val="24"/>
          <w:highlight w:val="none"/>
        </w:rPr>
      </w:pPr>
      <w:r>
        <w:rPr>
          <w:rFonts w:ascii="Times New Roman" w:hAnsi="Times New Roman" w:eastAsia="仿宋_GB2312"/>
          <w:b/>
          <w:color w:val="auto"/>
          <w:spacing w:val="-4"/>
          <w:sz w:val="24"/>
          <w:szCs w:val="24"/>
          <w:highlight w:val="none"/>
        </w:rPr>
        <w:t>表</w:t>
      </w:r>
      <w:r>
        <w:rPr>
          <w:rFonts w:hint="eastAsia" w:ascii="Times New Roman" w:hAnsi="Times New Roman" w:eastAsia="仿宋_GB2312"/>
          <w:b/>
          <w:color w:val="auto"/>
          <w:spacing w:val="-4"/>
          <w:sz w:val="24"/>
          <w:szCs w:val="24"/>
          <w:highlight w:val="none"/>
          <w:lang w:val="en-US" w:eastAsia="zh-CN"/>
        </w:rPr>
        <w:t>2.1</w:t>
      </w:r>
      <w:r>
        <w:rPr>
          <w:rFonts w:ascii="Times New Roman" w:hAnsi="Times New Roman" w:eastAsia="仿宋_GB2312"/>
          <w:b/>
          <w:color w:val="auto"/>
          <w:spacing w:val="-4"/>
          <w:sz w:val="24"/>
          <w:szCs w:val="24"/>
          <w:highlight w:val="none"/>
        </w:rPr>
        <w:t>-</w:t>
      </w:r>
      <w:r>
        <w:rPr>
          <w:rFonts w:hint="eastAsia" w:ascii="Times New Roman" w:hAnsi="Times New Roman" w:eastAsia="仿宋_GB2312"/>
          <w:b/>
          <w:color w:val="auto"/>
          <w:spacing w:val="-4"/>
          <w:sz w:val="24"/>
          <w:szCs w:val="24"/>
          <w:highlight w:val="none"/>
          <w:lang w:val="en-US" w:eastAsia="zh-CN"/>
        </w:rPr>
        <w:t>8</w:t>
      </w:r>
      <w:r>
        <w:rPr>
          <w:rFonts w:hint="eastAsia" w:ascii="Times New Roman" w:hAnsi="Times New Roman" w:eastAsia="仿宋_GB2312"/>
          <w:b/>
          <w:color w:val="auto"/>
          <w:spacing w:val="-4"/>
          <w:sz w:val="24"/>
          <w:szCs w:val="24"/>
          <w:highlight w:val="none"/>
        </w:rPr>
        <w:t xml:space="preserve">  </w:t>
      </w:r>
      <w:r>
        <w:rPr>
          <w:rFonts w:hint="eastAsia" w:ascii="Times New Roman" w:hAnsi="Times New Roman" w:eastAsia="仿宋_GB2312"/>
          <w:b/>
          <w:color w:val="auto"/>
          <w:spacing w:val="-4"/>
          <w:sz w:val="24"/>
          <w:szCs w:val="24"/>
          <w:highlight w:val="none"/>
          <w:lang w:eastAsia="zh-CN"/>
        </w:rPr>
        <w:t>策勒县</w:t>
      </w:r>
      <w:r>
        <w:rPr>
          <w:rFonts w:ascii="Times New Roman" w:hAnsi="Times New Roman" w:eastAsia="仿宋_GB2312"/>
          <w:b/>
          <w:color w:val="auto"/>
          <w:spacing w:val="-4"/>
          <w:sz w:val="24"/>
          <w:szCs w:val="24"/>
          <w:highlight w:val="none"/>
        </w:rPr>
        <w:t>畜禽养殖业现状</w:t>
      </w:r>
    </w:p>
    <w:tbl>
      <w:tblPr>
        <w:tblStyle w:val="26"/>
        <w:tblW w:w="86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1755"/>
        <w:gridCol w:w="1756"/>
        <w:gridCol w:w="1755"/>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1454"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行政区划</w:t>
            </w:r>
          </w:p>
        </w:tc>
        <w:tc>
          <w:tcPr>
            <w:tcW w:w="1755"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奶牛(年末存栏量)(万头)</w:t>
            </w:r>
          </w:p>
        </w:tc>
        <w:tc>
          <w:tcPr>
            <w:tcW w:w="1756"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肉牛(全年出栏量)(万头)</w:t>
            </w:r>
          </w:p>
        </w:tc>
        <w:tc>
          <w:tcPr>
            <w:tcW w:w="1755"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蛋鸡(年末存栏量)(万羽)</w:t>
            </w:r>
          </w:p>
        </w:tc>
        <w:tc>
          <w:tcPr>
            <w:tcW w:w="1897"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肉鸡(全年出栏量)(万羽)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1454"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策勒县</w:t>
            </w:r>
          </w:p>
        </w:tc>
        <w:tc>
          <w:tcPr>
            <w:tcW w:w="1755"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 xml:space="preserve">0.190 </w:t>
            </w:r>
          </w:p>
        </w:tc>
        <w:tc>
          <w:tcPr>
            <w:tcW w:w="1756"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 xml:space="preserve">0.458 </w:t>
            </w:r>
          </w:p>
        </w:tc>
        <w:tc>
          <w:tcPr>
            <w:tcW w:w="1755"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 xml:space="preserve">11.510 </w:t>
            </w:r>
          </w:p>
        </w:tc>
        <w:tc>
          <w:tcPr>
            <w:tcW w:w="1897"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 xml:space="preserve">42.563 </w:t>
            </w:r>
          </w:p>
        </w:tc>
      </w:tr>
    </w:tbl>
    <w:p>
      <w:pPr>
        <w:spacing w:before="156" w:after="156" w:afterLines="50"/>
        <w:ind w:firstLine="640" w:firstLineChars="200"/>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eastAsia="zh-CN"/>
        </w:rPr>
        <w:t>策勒县</w:t>
      </w:r>
      <w:r>
        <w:rPr>
          <w:rFonts w:ascii="Times New Roman" w:hAnsi="Times New Roman" w:eastAsia="仿宋_GB2312"/>
          <w:color w:val="auto"/>
          <w:sz w:val="32"/>
          <w:szCs w:val="32"/>
          <w:highlight w:val="none"/>
        </w:rPr>
        <w:t>水产养殖场共</w:t>
      </w:r>
      <w:r>
        <w:rPr>
          <w:rFonts w:hint="eastAsia" w:ascii="Times New Roman" w:hAnsi="Times New Roman" w:eastAsia="仿宋_GB2312"/>
          <w:color w:val="auto"/>
          <w:sz w:val="32"/>
          <w:szCs w:val="32"/>
          <w:highlight w:val="none"/>
          <w:lang w:val="en-US" w:eastAsia="zh-CN"/>
        </w:rPr>
        <w:t>14</w:t>
      </w:r>
      <w:r>
        <w:rPr>
          <w:rFonts w:ascii="Times New Roman" w:hAnsi="Times New Roman" w:eastAsia="仿宋_GB2312"/>
          <w:color w:val="auto"/>
          <w:sz w:val="32"/>
          <w:szCs w:val="32"/>
          <w:highlight w:val="none"/>
        </w:rPr>
        <w:t>家，详见表</w:t>
      </w:r>
      <w:r>
        <w:rPr>
          <w:rFonts w:hint="eastAsia" w:ascii="Times New Roman" w:hAnsi="Times New Roman" w:eastAsia="仿宋_GB2312"/>
          <w:color w:val="auto"/>
          <w:sz w:val="32"/>
          <w:szCs w:val="32"/>
          <w:highlight w:val="none"/>
          <w:lang w:val="en-US" w:eastAsia="zh-CN"/>
        </w:rPr>
        <w:t>2.1</w:t>
      </w:r>
      <w:r>
        <w:rPr>
          <w:rFonts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9</w:t>
      </w:r>
      <w:r>
        <w:rPr>
          <w:rFonts w:ascii="Times New Roman" w:hAnsi="Times New Roman" w:eastAsia="仿宋_GB2312"/>
          <w:color w:val="auto"/>
          <w:sz w:val="32"/>
          <w:szCs w:val="32"/>
          <w:highlight w:val="none"/>
        </w:rPr>
        <w:t>。</w:t>
      </w:r>
    </w:p>
    <w:p>
      <w:pPr>
        <w:ind w:firstLine="482"/>
        <w:jc w:val="center"/>
        <w:rPr>
          <w:rFonts w:ascii="Times New Roman" w:hAnsi="Times New Roman" w:eastAsia="仿宋_GB2312"/>
          <w:b/>
          <w:color w:val="auto"/>
          <w:spacing w:val="-4"/>
          <w:sz w:val="24"/>
          <w:szCs w:val="24"/>
          <w:highlight w:val="none"/>
        </w:rPr>
      </w:pPr>
      <w:r>
        <w:rPr>
          <w:rFonts w:ascii="Times New Roman" w:hAnsi="Times New Roman" w:eastAsia="仿宋_GB2312"/>
          <w:b/>
          <w:color w:val="auto"/>
          <w:spacing w:val="-4"/>
          <w:sz w:val="24"/>
          <w:szCs w:val="24"/>
          <w:highlight w:val="none"/>
        </w:rPr>
        <w:t>表</w:t>
      </w:r>
      <w:r>
        <w:rPr>
          <w:rFonts w:hint="eastAsia" w:ascii="Times New Roman" w:hAnsi="Times New Roman" w:eastAsia="仿宋_GB2312"/>
          <w:b/>
          <w:color w:val="auto"/>
          <w:spacing w:val="-4"/>
          <w:sz w:val="24"/>
          <w:szCs w:val="24"/>
          <w:highlight w:val="none"/>
          <w:lang w:val="en-US" w:eastAsia="zh-CN"/>
        </w:rPr>
        <w:t>2.1</w:t>
      </w:r>
      <w:r>
        <w:rPr>
          <w:rFonts w:ascii="Times New Roman" w:hAnsi="Times New Roman" w:eastAsia="仿宋_GB2312"/>
          <w:b/>
          <w:color w:val="auto"/>
          <w:spacing w:val="-4"/>
          <w:sz w:val="24"/>
          <w:szCs w:val="24"/>
          <w:highlight w:val="none"/>
        </w:rPr>
        <w:t>-</w:t>
      </w:r>
      <w:r>
        <w:rPr>
          <w:rFonts w:hint="eastAsia" w:ascii="Times New Roman" w:hAnsi="Times New Roman" w:eastAsia="仿宋_GB2312"/>
          <w:b/>
          <w:color w:val="auto"/>
          <w:spacing w:val="-4"/>
          <w:sz w:val="24"/>
          <w:szCs w:val="24"/>
          <w:highlight w:val="none"/>
          <w:lang w:val="en-US" w:eastAsia="zh-CN"/>
        </w:rPr>
        <w:t>9</w:t>
      </w:r>
      <w:r>
        <w:rPr>
          <w:rFonts w:hint="eastAsia" w:ascii="Times New Roman" w:hAnsi="Times New Roman" w:eastAsia="仿宋_GB2312"/>
          <w:b/>
          <w:color w:val="auto"/>
          <w:spacing w:val="-4"/>
          <w:sz w:val="24"/>
          <w:szCs w:val="24"/>
          <w:highlight w:val="none"/>
        </w:rPr>
        <w:t xml:space="preserve">   </w:t>
      </w:r>
      <w:r>
        <w:rPr>
          <w:rFonts w:hint="eastAsia" w:ascii="Times New Roman" w:hAnsi="Times New Roman" w:eastAsia="仿宋_GB2312"/>
          <w:b/>
          <w:color w:val="auto"/>
          <w:spacing w:val="-4"/>
          <w:sz w:val="24"/>
          <w:szCs w:val="24"/>
          <w:highlight w:val="none"/>
          <w:lang w:eastAsia="zh-CN"/>
        </w:rPr>
        <w:t>策勒县</w:t>
      </w:r>
      <w:r>
        <w:rPr>
          <w:rFonts w:ascii="Times New Roman" w:hAnsi="Times New Roman" w:eastAsia="仿宋_GB2312"/>
          <w:b/>
          <w:color w:val="auto"/>
          <w:spacing w:val="-4"/>
          <w:sz w:val="24"/>
          <w:szCs w:val="24"/>
          <w:highlight w:val="none"/>
        </w:rPr>
        <w:t>水产养殖现状</w:t>
      </w:r>
    </w:p>
    <w:tbl>
      <w:tblPr>
        <w:tblStyle w:val="26"/>
        <w:tblW w:w="86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936"/>
        <w:gridCol w:w="700"/>
        <w:gridCol w:w="700"/>
        <w:gridCol w:w="650"/>
        <w:gridCol w:w="652"/>
        <w:gridCol w:w="701"/>
        <w:gridCol w:w="730"/>
        <w:gridCol w:w="643"/>
        <w:gridCol w:w="748"/>
        <w:gridCol w:w="799"/>
        <w:gridCol w:w="664"/>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170" w:hRule="atLeast"/>
          <w:tblHeader/>
          <w:jc w:val="center"/>
        </w:trPr>
        <w:tc>
          <w:tcPr>
            <w:tcW w:w="936"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行政区划名称</w:t>
            </w:r>
          </w:p>
        </w:tc>
        <w:tc>
          <w:tcPr>
            <w:tcW w:w="700"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养殖场情况统计(个)</w:t>
            </w:r>
          </w:p>
        </w:tc>
        <w:tc>
          <w:tcPr>
            <w:tcW w:w="700"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规模养殖场(个)</w:t>
            </w:r>
          </w:p>
        </w:tc>
        <w:tc>
          <w:tcPr>
            <w:tcW w:w="650"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养殖户(个)</w:t>
            </w:r>
          </w:p>
        </w:tc>
        <w:tc>
          <w:tcPr>
            <w:tcW w:w="652"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水产产量(吨/年)</w:t>
            </w:r>
          </w:p>
        </w:tc>
        <w:tc>
          <w:tcPr>
            <w:tcW w:w="701"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池塘养殖-产量</w:t>
            </w:r>
          </w:p>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(吨/年)</w:t>
            </w:r>
          </w:p>
        </w:tc>
        <w:tc>
          <w:tcPr>
            <w:tcW w:w="730"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工厂化养殖-产量</w:t>
            </w:r>
          </w:p>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(吨/年)</w:t>
            </w:r>
          </w:p>
        </w:tc>
        <w:tc>
          <w:tcPr>
            <w:tcW w:w="643"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网箱养殖-产量</w:t>
            </w:r>
          </w:p>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(吨/年)</w:t>
            </w:r>
          </w:p>
        </w:tc>
        <w:tc>
          <w:tcPr>
            <w:tcW w:w="748"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围栏养殖-产量</w:t>
            </w:r>
          </w:p>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(吨/年)</w:t>
            </w:r>
          </w:p>
        </w:tc>
        <w:tc>
          <w:tcPr>
            <w:tcW w:w="799"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浅海筏式养殖-产量</w:t>
            </w:r>
          </w:p>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(吨/年)</w:t>
            </w:r>
          </w:p>
        </w:tc>
        <w:tc>
          <w:tcPr>
            <w:tcW w:w="664"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滩涂养殖-产量</w:t>
            </w:r>
          </w:p>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(吨/年)</w:t>
            </w:r>
          </w:p>
        </w:tc>
        <w:tc>
          <w:tcPr>
            <w:tcW w:w="750"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其他养殖-产量</w:t>
            </w:r>
          </w:p>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170" w:hRule="atLeast"/>
          <w:jc w:val="center"/>
        </w:trPr>
        <w:tc>
          <w:tcPr>
            <w:tcW w:w="936"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策勒县</w:t>
            </w:r>
          </w:p>
        </w:tc>
        <w:tc>
          <w:tcPr>
            <w:tcW w:w="700"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14</w:t>
            </w:r>
          </w:p>
        </w:tc>
        <w:tc>
          <w:tcPr>
            <w:tcW w:w="700"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2</w:t>
            </w:r>
          </w:p>
        </w:tc>
        <w:tc>
          <w:tcPr>
            <w:tcW w:w="650"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12</w:t>
            </w:r>
          </w:p>
        </w:tc>
        <w:tc>
          <w:tcPr>
            <w:tcW w:w="652"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20</w:t>
            </w:r>
          </w:p>
        </w:tc>
        <w:tc>
          <w:tcPr>
            <w:tcW w:w="701"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20</w:t>
            </w:r>
          </w:p>
        </w:tc>
        <w:tc>
          <w:tcPr>
            <w:tcW w:w="730"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0</w:t>
            </w:r>
          </w:p>
        </w:tc>
        <w:tc>
          <w:tcPr>
            <w:tcW w:w="643"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0</w:t>
            </w:r>
          </w:p>
        </w:tc>
        <w:tc>
          <w:tcPr>
            <w:tcW w:w="748"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0</w:t>
            </w:r>
          </w:p>
        </w:tc>
        <w:tc>
          <w:tcPr>
            <w:tcW w:w="799"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0</w:t>
            </w:r>
          </w:p>
        </w:tc>
        <w:tc>
          <w:tcPr>
            <w:tcW w:w="664"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0</w:t>
            </w:r>
          </w:p>
        </w:tc>
        <w:tc>
          <w:tcPr>
            <w:tcW w:w="750" w:type="dxa"/>
            <w:shd w:val="clear" w:color="auto" w:fill="auto"/>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0</w:t>
            </w:r>
          </w:p>
        </w:tc>
      </w:tr>
    </w:tbl>
    <w:p>
      <w:pPr>
        <w:ind w:firstLine="640" w:firstLineChars="200"/>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eastAsia="zh-CN"/>
        </w:rPr>
        <w:t>策勒县</w:t>
      </w:r>
      <w:r>
        <w:rPr>
          <w:rFonts w:hint="eastAsia" w:ascii="Times New Roman" w:hAnsi="Times New Roman" w:eastAsia="仿宋_GB2312"/>
          <w:color w:val="auto"/>
          <w:sz w:val="32"/>
          <w:szCs w:val="32"/>
          <w:highlight w:val="none"/>
        </w:rPr>
        <w:t>畜禽养殖源化学需氧量排放量</w:t>
      </w:r>
      <w:r>
        <w:rPr>
          <w:rFonts w:ascii="Times New Roman" w:hAnsi="Times New Roman" w:eastAsia="仿宋_GB2312"/>
          <w:color w:val="auto"/>
          <w:sz w:val="32"/>
          <w:szCs w:val="22"/>
          <w:highlight w:val="none"/>
        </w:rPr>
        <w:t xml:space="preserve">891.28 </w:t>
      </w:r>
      <w:r>
        <w:rPr>
          <w:rFonts w:hint="eastAsia" w:ascii="Times New Roman" w:hAnsi="Times New Roman" w:eastAsia="仿宋_GB2312"/>
          <w:color w:val="auto"/>
          <w:sz w:val="32"/>
          <w:szCs w:val="32"/>
          <w:highlight w:val="none"/>
        </w:rPr>
        <w:t>t/a，氨氮排放</w:t>
      </w:r>
      <w:r>
        <w:rPr>
          <w:rFonts w:ascii="Times New Roman" w:hAnsi="Times New Roman" w:eastAsia="仿宋_GB2312"/>
          <w:color w:val="auto"/>
          <w:sz w:val="32"/>
          <w:szCs w:val="32"/>
          <w:highlight w:val="none"/>
        </w:rPr>
        <w:t>量</w:t>
      </w:r>
      <w:r>
        <w:rPr>
          <w:rFonts w:hint="eastAsia" w:ascii="Times New Roman" w:hAnsi="Times New Roman" w:eastAsia="仿宋_GB2312"/>
          <w:color w:val="auto"/>
          <w:sz w:val="32"/>
          <w:szCs w:val="32"/>
          <w:highlight w:val="none"/>
          <w:lang w:val="en-US" w:eastAsia="zh-CN"/>
        </w:rPr>
        <w:t>10.63</w:t>
      </w:r>
      <w:r>
        <w:rPr>
          <w:rFonts w:ascii="Times New Roman" w:hAnsi="Times New Roman" w:eastAsia="仿宋_GB2312"/>
          <w:color w:val="auto"/>
          <w:sz w:val="32"/>
          <w:szCs w:val="32"/>
          <w:highlight w:val="none"/>
        </w:rPr>
        <w:t xml:space="preserve"> t/a，总磷排放量</w:t>
      </w:r>
      <w:r>
        <w:rPr>
          <w:rFonts w:hint="eastAsia" w:ascii="Times New Roman" w:hAnsi="Times New Roman" w:eastAsia="仿宋_GB2312"/>
          <w:color w:val="auto"/>
          <w:sz w:val="32"/>
          <w:szCs w:val="32"/>
          <w:highlight w:val="none"/>
          <w:lang w:val="en-US" w:eastAsia="zh-CN"/>
        </w:rPr>
        <w:t>8.19</w:t>
      </w:r>
      <w:r>
        <w:rPr>
          <w:rFonts w:ascii="Times New Roman" w:hAnsi="Times New Roman" w:eastAsia="仿宋_GB2312"/>
          <w:color w:val="auto"/>
          <w:sz w:val="32"/>
          <w:szCs w:val="32"/>
          <w:highlight w:val="none"/>
        </w:rPr>
        <w:t>t/a。</w:t>
      </w:r>
    </w:p>
    <w:p>
      <w:pPr>
        <w:ind w:firstLine="482"/>
        <w:jc w:val="center"/>
        <w:rPr>
          <w:rFonts w:ascii="Times New Roman" w:hAnsi="Times New Roman" w:eastAsia="仿宋_GB2312"/>
          <w:b/>
          <w:color w:val="auto"/>
          <w:spacing w:val="-4"/>
          <w:sz w:val="24"/>
          <w:szCs w:val="24"/>
          <w:highlight w:val="none"/>
        </w:rPr>
      </w:pPr>
      <w:r>
        <w:rPr>
          <w:rFonts w:hint="eastAsia" w:ascii="Times New Roman" w:hAnsi="Times New Roman" w:eastAsia="仿宋_GB2312"/>
          <w:b/>
          <w:color w:val="auto"/>
          <w:spacing w:val="-4"/>
          <w:sz w:val="24"/>
          <w:szCs w:val="24"/>
          <w:highlight w:val="none"/>
          <w:lang w:val="en-US" w:eastAsia="zh-CN"/>
        </w:rPr>
        <w:t xml:space="preserve">  </w:t>
      </w:r>
      <w:r>
        <w:rPr>
          <w:rFonts w:ascii="Times New Roman" w:hAnsi="Times New Roman" w:eastAsia="仿宋_GB2312"/>
          <w:b/>
          <w:color w:val="auto"/>
          <w:spacing w:val="-4"/>
          <w:sz w:val="24"/>
          <w:szCs w:val="24"/>
          <w:highlight w:val="none"/>
        </w:rPr>
        <w:t>表</w:t>
      </w:r>
      <w:r>
        <w:rPr>
          <w:rFonts w:hint="eastAsia" w:ascii="Times New Roman" w:hAnsi="Times New Roman" w:eastAsia="仿宋_GB2312"/>
          <w:b/>
          <w:color w:val="auto"/>
          <w:spacing w:val="-4"/>
          <w:sz w:val="24"/>
          <w:szCs w:val="24"/>
          <w:highlight w:val="none"/>
          <w:lang w:val="en-US" w:eastAsia="zh-CN"/>
        </w:rPr>
        <w:t>2.1</w:t>
      </w:r>
      <w:r>
        <w:rPr>
          <w:rFonts w:ascii="Times New Roman" w:hAnsi="Times New Roman" w:eastAsia="仿宋_GB2312"/>
          <w:b/>
          <w:color w:val="auto"/>
          <w:spacing w:val="-4"/>
          <w:sz w:val="24"/>
          <w:szCs w:val="24"/>
          <w:highlight w:val="none"/>
        </w:rPr>
        <w:t>-</w:t>
      </w:r>
      <w:r>
        <w:rPr>
          <w:rFonts w:hint="eastAsia" w:ascii="Times New Roman" w:hAnsi="Times New Roman" w:eastAsia="仿宋_GB2312"/>
          <w:b/>
          <w:color w:val="auto"/>
          <w:spacing w:val="-4"/>
          <w:sz w:val="24"/>
          <w:szCs w:val="24"/>
          <w:highlight w:val="none"/>
          <w:lang w:val="en-US" w:eastAsia="zh-CN"/>
        </w:rPr>
        <w:t>10</w:t>
      </w:r>
      <w:r>
        <w:rPr>
          <w:rFonts w:hint="eastAsia" w:ascii="Times New Roman" w:hAnsi="Times New Roman" w:eastAsia="仿宋_GB2312"/>
          <w:b/>
          <w:color w:val="auto"/>
          <w:spacing w:val="-4"/>
          <w:sz w:val="24"/>
          <w:szCs w:val="24"/>
          <w:highlight w:val="none"/>
        </w:rPr>
        <w:t xml:space="preserve"> </w:t>
      </w:r>
      <w:r>
        <w:rPr>
          <w:rFonts w:hint="eastAsia" w:ascii="Times New Roman" w:hAnsi="Times New Roman" w:eastAsia="仿宋_GB2312"/>
          <w:b/>
          <w:color w:val="auto"/>
          <w:spacing w:val="-4"/>
          <w:sz w:val="24"/>
          <w:szCs w:val="24"/>
          <w:highlight w:val="none"/>
          <w:lang w:eastAsia="zh-CN"/>
        </w:rPr>
        <w:t>策勒县</w:t>
      </w:r>
      <w:r>
        <w:rPr>
          <w:rFonts w:ascii="Times New Roman" w:hAnsi="Times New Roman" w:eastAsia="仿宋_GB2312"/>
          <w:b/>
          <w:color w:val="auto"/>
          <w:spacing w:val="-4"/>
          <w:sz w:val="24"/>
          <w:szCs w:val="24"/>
          <w:highlight w:val="none"/>
        </w:rPr>
        <w:t>畜禽养殖业污染物排放情况</w:t>
      </w:r>
    </w:p>
    <w:tbl>
      <w:tblPr>
        <w:tblStyle w:val="26"/>
        <w:tblW w:w="8336" w:type="dxa"/>
        <w:tblInd w:w="0" w:type="dxa"/>
        <w:tblLayout w:type="fixed"/>
        <w:tblCellMar>
          <w:top w:w="0" w:type="dxa"/>
          <w:left w:w="0" w:type="dxa"/>
          <w:bottom w:w="0" w:type="dxa"/>
          <w:right w:w="0" w:type="dxa"/>
        </w:tblCellMar>
      </w:tblPr>
      <w:tblGrid>
        <w:gridCol w:w="1519"/>
        <w:gridCol w:w="2601"/>
        <w:gridCol w:w="2086"/>
        <w:gridCol w:w="2130"/>
      </w:tblGrid>
      <w:tr>
        <w:tblPrEx>
          <w:tblLayout w:type="fixed"/>
          <w:tblCellMar>
            <w:top w:w="0" w:type="dxa"/>
            <w:left w:w="0" w:type="dxa"/>
            <w:bottom w:w="0" w:type="dxa"/>
            <w:right w:w="0" w:type="dxa"/>
          </w:tblCellMar>
        </w:tblPrEx>
        <w:trPr>
          <w:trHeight w:val="285" w:hRule="atLeast"/>
        </w:trPr>
        <w:tc>
          <w:tcPr>
            <w:tcW w:w="151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县区</w:t>
            </w:r>
          </w:p>
        </w:tc>
        <w:tc>
          <w:tcPr>
            <w:tcW w:w="68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畜禽养殖负荷排放量（t/a</w:t>
            </w:r>
            <w:r>
              <w:rPr>
                <w:rFonts w:hint="default" w:ascii="仿宋" w:hAnsi="仿宋" w:eastAsia="仿宋" w:cs="仿宋"/>
                <w:color w:val="auto"/>
                <w:kern w:val="0"/>
                <w:sz w:val="22"/>
                <w:szCs w:val="22"/>
                <w:highlight w:val="none"/>
                <w:lang w:bidi="ar"/>
              </w:rPr>
              <w:t>）</w:t>
            </w:r>
          </w:p>
        </w:tc>
      </w:tr>
      <w:tr>
        <w:tblPrEx>
          <w:tblLayout w:type="fixed"/>
          <w:tblCellMar>
            <w:top w:w="0" w:type="dxa"/>
            <w:left w:w="0" w:type="dxa"/>
            <w:bottom w:w="0" w:type="dxa"/>
            <w:right w:w="0" w:type="dxa"/>
          </w:tblCellMar>
        </w:tblPrEx>
        <w:trPr>
          <w:trHeight w:val="285" w:hRule="atLeast"/>
        </w:trPr>
        <w:tc>
          <w:tcPr>
            <w:tcW w:w="151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化学需氧量</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氨氮</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总磷</w:t>
            </w:r>
          </w:p>
        </w:tc>
      </w:tr>
      <w:tr>
        <w:tblPrEx>
          <w:tblLayout w:type="fixed"/>
          <w:tblCellMar>
            <w:top w:w="0" w:type="dxa"/>
            <w:left w:w="0" w:type="dxa"/>
            <w:bottom w:w="0" w:type="dxa"/>
            <w:right w:w="0" w:type="dxa"/>
          </w:tblCellMar>
        </w:tblPrEx>
        <w:trPr>
          <w:trHeight w:val="300" w:hRule="atLeast"/>
        </w:trPr>
        <w:tc>
          <w:tcPr>
            <w:tcW w:w="15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策勒县</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 xml:space="preserve">891.28 </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 xml:space="preserve">10.63 </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 xml:space="preserve">8.19 </w:t>
            </w:r>
          </w:p>
        </w:tc>
      </w:tr>
    </w:tbl>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（3）农药、化肥和地膜情况</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根据调查资料：2020年全县废旧地膜回收率达78%以上；策勒县化肥用量连续三年零增长，实施有机肥替代、测土配方、秸秆还田、水肥一体化等技术；实现集中规模化养殖80%以上，集中规模化养殖均已配套废污处理设施。</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bookmarkStart w:id="32" w:name="_Toc24131"/>
      <w:r>
        <w:rPr>
          <w:rFonts w:hint="eastAsia" w:ascii="仿宋_GB2312" w:hAnsi="仿宋_GB2312" w:eastAsia="仿宋_GB2312" w:cs="仿宋_GB2312"/>
          <w:color w:val="auto"/>
          <w:sz w:val="32"/>
          <w:szCs w:val="32"/>
          <w:highlight w:val="none"/>
          <w:lang w:val="en-US" w:eastAsia="zh-CN"/>
        </w:rPr>
        <w:t>（4）工业</w:t>
      </w:r>
      <w:bookmarkEnd w:id="32"/>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bookmarkStart w:id="33" w:name="_Toc9981"/>
      <w:r>
        <w:rPr>
          <w:rFonts w:hint="eastAsia" w:ascii="仿宋_GB2312" w:hAnsi="仿宋_GB2312" w:eastAsia="仿宋_GB2312" w:cs="仿宋_GB2312"/>
          <w:color w:val="auto"/>
          <w:sz w:val="32"/>
          <w:szCs w:val="32"/>
          <w:highlight w:val="none"/>
          <w:lang w:val="en-US" w:eastAsia="zh-CN"/>
        </w:rPr>
        <w:t>a工业废水总体排放情况</w:t>
      </w:r>
      <w:bookmarkEnd w:id="33"/>
    </w:p>
    <w:p>
      <w:pPr>
        <w:jc w:val="center"/>
        <w:rPr>
          <w:rFonts w:ascii="Times New Roman" w:hAnsi="Times New Roman" w:eastAsia="仿宋_GB2312"/>
          <w:b/>
          <w:color w:val="auto"/>
          <w:spacing w:val="-4"/>
          <w:sz w:val="24"/>
          <w:szCs w:val="24"/>
          <w:highlight w:val="none"/>
        </w:rPr>
      </w:pPr>
      <w:r>
        <w:rPr>
          <w:rFonts w:ascii="Times New Roman" w:hAnsi="Times New Roman" w:eastAsia="仿宋_GB2312"/>
          <w:b/>
          <w:color w:val="auto"/>
          <w:spacing w:val="-4"/>
          <w:sz w:val="24"/>
          <w:szCs w:val="24"/>
          <w:highlight w:val="none"/>
        </w:rPr>
        <w:t>表</w:t>
      </w:r>
      <w:r>
        <w:rPr>
          <w:rFonts w:hint="eastAsia" w:ascii="Times New Roman" w:hAnsi="Times New Roman" w:eastAsia="仿宋_GB2312"/>
          <w:b/>
          <w:color w:val="auto"/>
          <w:spacing w:val="-4"/>
          <w:sz w:val="24"/>
          <w:szCs w:val="24"/>
          <w:highlight w:val="none"/>
          <w:lang w:val="en-US" w:eastAsia="zh-CN"/>
        </w:rPr>
        <w:t>2.1</w:t>
      </w:r>
      <w:r>
        <w:rPr>
          <w:rFonts w:ascii="Times New Roman" w:hAnsi="Times New Roman" w:eastAsia="仿宋_GB2312"/>
          <w:b/>
          <w:color w:val="auto"/>
          <w:spacing w:val="-4"/>
          <w:sz w:val="24"/>
          <w:szCs w:val="24"/>
          <w:highlight w:val="none"/>
        </w:rPr>
        <w:t>-</w:t>
      </w:r>
      <w:r>
        <w:rPr>
          <w:rFonts w:hint="eastAsia" w:ascii="Times New Roman" w:hAnsi="Times New Roman" w:eastAsia="仿宋_GB2312"/>
          <w:b/>
          <w:color w:val="auto"/>
          <w:spacing w:val="-4"/>
          <w:sz w:val="24"/>
          <w:szCs w:val="24"/>
          <w:highlight w:val="none"/>
          <w:lang w:val="en-US" w:eastAsia="zh-CN"/>
        </w:rPr>
        <w:t xml:space="preserve">11 </w:t>
      </w:r>
      <w:r>
        <w:rPr>
          <w:rFonts w:hint="eastAsia" w:ascii="Times New Roman" w:hAnsi="Times New Roman" w:eastAsia="仿宋_GB2312"/>
          <w:b/>
          <w:color w:val="auto"/>
          <w:spacing w:val="-4"/>
          <w:sz w:val="24"/>
          <w:szCs w:val="24"/>
          <w:highlight w:val="none"/>
          <w:lang w:eastAsia="zh-CN"/>
        </w:rPr>
        <w:t>策勒县</w:t>
      </w:r>
      <w:r>
        <w:rPr>
          <w:rFonts w:ascii="Times New Roman" w:hAnsi="Times New Roman" w:eastAsia="仿宋_GB2312"/>
          <w:b/>
          <w:color w:val="auto"/>
          <w:spacing w:val="-4"/>
          <w:sz w:val="24"/>
          <w:szCs w:val="24"/>
          <w:highlight w:val="none"/>
        </w:rPr>
        <w:t>工业源负荷排放情况</w:t>
      </w:r>
    </w:p>
    <w:tbl>
      <w:tblPr>
        <w:tblStyle w:val="4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921"/>
        <w:gridCol w:w="1843"/>
        <w:gridCol w:w="1985"/>
        <w:gridCol w:w="1559"/>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888" w:type="dxa"/>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县市</w:t>
            </w:r>
          </w:p>
        </w:tc>
        <w:tc>
          <w:tcPr>
            <w:tcW w:w="921" w:type="dxa"/>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工业企业个数</w:t>
            </w:r>
          </w:p>
        </w:tc>
        <w:tc>
          <w:tcPr>
            <w:tcW w:w="1843" w:type="dxa"/>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工业废水排放量（万t/a）</w:t>
            </w:r>
          </w:p>
        </w:tc>
        <w:tc>
          <w:tcPr>
            <w:tcW w:w="1985" w:type="dxa"/>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化学需氧量排放量（t/a）</w:t>
            </w:r>
          </w:p>
        </w:tc>
        <w:tc>
          <w:tcPr>
            <w:tcW w:w="1559" w:type="dxa"/>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氨氮排放量（t/a）</w:t>
            </w:r>
          </w:p>
        </w:tc>
        <w:tc>
          <w:tcPr>
            <w:tcW w:w="1332" w:type="dxa"/>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总磷排放量（t/a）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888" w:type="dxa"/>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策勒县</w:t>
            </w:r>
          </w:p>
        </w:tc>
        <w:tc>
          <w:tcPr>
            <w:tcW w:w="921" w:type="dxa"/>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16</w:t>
            </w:r>
          </w:p>
        </w:tc>
        <w:tc>
          <w:tcPr>
            <w:tcW w:w="1843" w:type="dxa"/>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2.90</w:t>
            </w:r>
          </w:p>
        </w:tc>
        <w:tc>
          <w:tcPr>
            <w:tcW w:w="1985" w:type="dxa"/>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19.00</w:t>
            </w:r>
          </w:p>
        </w:tc>
        <w:tc>
          <w:tcPr>
            <w:tcW w:w="1559" w:type="dxa"/>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0.75</w:t>
            </w:r>
          </w:p>
        </w:tc>
        <w:tc>
          <w:tcPr>
            <w:tcW w:w="1332" w:type="dxa"/>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0.24</w:t>
            </w:r>
          </w:p>
        </w:tc>
      </w:tr>
    </w:tbl>
    <w:p>
      <w:pPr>
        <w:jc w:val="center"/>
        <w:rPr>
          <w:rFonts w:ascii="Times New Roman" w:hAnsi="Times New Roman" w:eastAsia="仿宋_GB2312"/>
          <w:b/>
          <w:color w:val="auto"/>
          <w:spacing w:val="-4"/>
          <w:sz w:val="24"/>
          <w:szCs w:val="24"/>
          <w:highlight w:val="none"/>
        </w:rPr>
      </w:pPr>
      <w:r>
        <w:rPr>
          <w:rFonts w:ascii="Times New Roman" w:hAnsi="Times New Roman" w:eastAsia="仿宋_GB2312"/>
          <w:b/>
          <w:color w:val="auto"/>
          <w:spacing w:val="-4"/>
          <w:sz w:val="24"/>
          <w:szCs w:val="24"/>
          <w:highlight w:val="none"/>
        </w:rPr>
        <w:t>表</w:t>
      </w:r>
      <w:r>
        <w:rPr>
          <w:rFonts w:hint="eastAsia" w:ascii="Times New Roman" w:hAnsi="Times New Roman" w:eastAsia="仿宋_GB2312"/>
          <w:b/>
          <w:color w:val="auto"/>
          <w:spacing w:val="-4"/>
          <w:sz w:val="24"/>
          <w:szCs w:val="24"/>
          <w:highlight w:val="none"/>
          <w:lang w:val="en-US" w:eastAsia="zh-CN"/>
        </w:rPr>
        <w:t>2.1</w:t>
      </w:r>
      <w:r>
        <w:rPr>
          <w:rFonts w:ascii="Times New Roman" w:hAnsi="Times New Roman" w:eastAsia="仿宋_GB2312"/>
          <w:b/>
          <w:color w:val="auto"/>
          <w:spacing w:val="-4"/>
          <w:sz w:val="24"/>
          <w:szCs w:val="24"/>
          <w:highlight w:val="none"/>
        </w:rPr>
        <w:t>-</w:t>
      </w:r>
      <w:r>
        <w:rPr>
          <w:rFonts w:hint="eastAsia" w:ascii="Times New Roman" w:hAnsi="Times New Roman" w:eastAsia="仿宋_GB2312"/>
          <w:b/>
          <w:color w:val="auto"/>
          <w:spacing w:val="-4"/>
          <w:sz w:val="24"/>
          <w:szCs w:val="24"/>
          <w:highlight w:val="none"/>
          <w:lang w:val="en-US" w:eastAsia="zh-CN"/>
        </w:rPr>
        <w:t>12</w:t>
      </w:r>
      <w:r>
        <w:rPr>
          <w:rFonts w:hint="eastAsia" w:ascii="Times New Roman" w:hAnsi="Times New Roman" w:eastAsia="仿宋_GB2312"/>
          <w:b/>
          <w:color w:val="auto"/>
          <w:spacing w:val="-4"/>
          <w:sz w:val="24"/>
          <w:szCs w:val="24"/>
          <w:highlight w:val="none"/>
        </w:rPr>
        <w:t xml:space="preserve"> </w:t>
      </w:r>
      <w:r>
        <w:rPr>
          <w:rFonts w:hint="eastAsia" w:ascii="Times New Roman" w:hAnsi="Times New Roman" w:eastAsia="仿宋_GB2312"/>
          <w:b/>
          <w:color w:val="auto"/>
          <w:spacing w:val="-4"/>
          <w:sz w:val="24"/>
          <w:szCs w:val="24"/>
          <w:highlight w:val="none"/>
          <w:lang w:eastAsia="zh-CN"/>
        </w:rPr>
        <w:t>策勒县</w:t>
      </w:r>
      <w:r>
        <w:rPr>
          <w:rFonts w:ascii="Times New Roman" w:hAnsi="Times New Roman" w:eastAsia="仿宋_GB2312"/>
          <w:b/>
          <w:color w:val="auto"/>
          <w:spacing w:val="-4"/>
          <w:sz w:val="24"/>
          <w:szCs w:val="24"/>
          <w:highlight w:val="none"/>
        </w:rPr>
        <w:t>水环境污染负荷排放重点工业行业</w:t>
      </w:r>
    </w:p>
    <w:tbl>
      <w:tblPr>
        <w:tblStyle w:val="41"/>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4123"/>
        <w:gridCol w:w="1989"/>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04" w:type="dxa"/>
            <w:vMerge w:val="restart"/>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县市</w:t>
            </w:r>
          </w:p>
        </w:tc>
        <w:tc>
          <w:tcPr>
            <w:tcW w:w="7919" w:type="dxa"/>
            <w:gridSpan w:val="3"/>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主要排放工业行业类型及占比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04" w:type="dxa"/>
            <w:vMerge w:val="continue"/>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p>
        </w:tc>
        <w:tc>
          <w:tcPr>
            <w:tcW w:w="4123" w:type="dxa"/>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化学需氧量</w:t>
            </w:r>
          </w:p>
        </w:tc>
        <w:tc>
          <w:tcPr>
            <w:tcW w:w="1989" w:type="dxa"/>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氨氮</w:t>
            </w:r>
          </w:p>
        </w:tc>
        <w:tc>
          <w:tcPr>
            <w:tcW w:w="1807" w:type="dxa"/>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04" w:type="dxa"/>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策勒县</w:t>
            </w:r>
          </w:p>
        </w:tc>
        <w:tc>
          <w:tcPr>
            <w:tcW w:w="4123" w:type="dxa"/>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农副食品加工业(93.97%)、电力、热力生产和供应业(5.49%)、食品制造业（0.54%）</w:t>
            </w:r>
          </w:p>
        </w:tc>
        <w:tc>
          <w:tcPr>
            <w:tcW w:w="1989" w:type="dxa"/>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农副食品加工业(99.59%)、食品制造业（0.41%）</w:t>
            </w:r>
          </w:p>
        </w:tc>
        <w:tc>
          <w:tcPr>
            <w:tcW w:w="1807" w:type="dxa"/>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bidi="ar"/>
              </w:rPr>
              <w:t>农副食品加工业(99.54%)、食品制造业（0.46%）</w:t>
            </w:r>
          </w:p>
        </w:tc>
      </w:tr>
    </w:tbl>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b工业废水集中处理及排放去向情况</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工业废水去向分别为1.工业废水集中处理厂2.直接进入江河湖、库等水环境3.进入城市污水处理厂4.进入其它单位（非集中式污水处理厂）5.进入地渗或蒸发地（实际蒸发）6.其他。</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目前策勒县天津工业园区园区建有污水处理厂，污水处理厂均执行一级A标准，污水处理厂运行负荷较低。</w:t>
      </w:r>
    </w:p>
    <w:p>
      <w:pPr>
        <w:spacing w:before="266" w:line="360" w:lineRule="auto"/>
        <w:outlineLvl w:val="2"/>
        <w:rPr>
          <w:rFonts w:hint="eastAsia" w:ascii="Times New Roman" w:hAnsi="Times New Roman" w:eastAsia="仿宋" w:cs="Times New Roman"/>
          <w:b/>
          <w:bCs/>
          <w:color w:val="auto"/>
          <w:spacing w:val="5"/>
          <w:sz w:val="32"/>
          <w:szCs w:val="32"/>
          <w:highlight w:val="none"/>
          <w:lang w:val="en-US" w:eastAsia="zh-CN"/>
        </w:rPr>
      </w:pPr>
      <w:bookmarkStart w:id="34" w:name="_Toc27706"/>
      <w:r>
        <w:rPr>
          <w:rFonts w:hint="eastAsia" w:ascii="Times New Roman" w:hAnsi="Times New Roman" w:eastAsia="仿宋" w:cs="Times New Roman"/>
          <w:b/>
          <w:bCs/>
          <w:color w:val="auto"/>
          <w:spacing w:val="5"/>
          <w:sz w:val="32"/>
          <w:szCs w:val="32"/>
          <w:highlight w:val="none"/>
          <w:lang w:val="en-US" w:eastAsia="zh-CN"/>
        </w:rPr>
        <w:t>3.</w:t>
      </w:r>
      <w:r>
        <w:rPr>
          <w:rFonts w:hint="eastAsia" w:ascii="Times New Roman" w:hAnsi="Times New Roman" w:eastAsia="仿宋" w:cs="Times New Roman"/>
          <w:b/>
          <w:bCs/>
          <w:color w:val="auto"/>
          <w:spacing w:val="5"/>
          <w:sz w:val="32"/>
          <w:szCs w:val="32"/>
          <w:highlight w:val="none"/>
          <w:lang w:val="en-US" w:eastAsia="zh-CN"/>
        </w:rPr>
        <w:fldChar w:fldCharType="begin"/>
      </w:r>
      <w:r>
        <w:rPr>
          <w:rFonts w:hint="eastAsia" w:ascii="Times New Roman" w:hAnsi="Times New Roman" w:eastAsia="仿宋" w:cs="Times New Roman"/>
          <w:b/>
          <w:bCs/>
          <w:color w:val="auto"/>
          <w:spacing w:val="5"/>
          <w:sz w:val="32"/>
          <w:szCs w:val="32"/>
          <w:highlight w:val="none"/>
          <w:lang w:val="en-US" w:eastAsia="zh-CN"/>
        </w:rPr>
        <w:instrText xml:space="preserve"> HYPERLINK \l _Toc23424 </w:instrText>
      </w:r>
      <w:r>
        <w:rPr>
          <w:rFonts w:hint="eastAsia" w:ascii="Times New Roman" w:hAnsi="Times New Roman" w:eastAsia="仿宋" w:cs="Times New Roman"/>
          <w:b/>
          <w:bCs/>
          <w:color w:val="auto"/>
          <w:spacing w:val="5"/>
          <w:sz w:val="32"/>
          <w:szCs w:val="32"/>
          <w:highlight w:val="none"/>
          <w:lang w:val="en-US" w:eastAsia="zh-CN"/>
        </w:rPr>
        <w:fldChar w:fldCharType="separate"/>
      </w:r>
      <w:r>
        <w:rPr>
          <w:rFonts w:hint="eastAsia" w:ascii="Times New Roman" w:hAnsi="Times New Roman" w:eastAsia="仿宋" w:cs="Times New Roman"/>
          <w:b/>
          <w:bCs/>
          <w:color w:val="auto"/>
          <w:spacing w:val="5"/>
          <w:sz w:val="32"/>
          <w:szCs w:val="32"/>
          <w:highlight w:val="none"/>
          <w:lang w:val="en-US" w:eastAsia="zh-CN"/>
        </w:rPr>
        <w:t>水资源状况</w:t>
      </w:r>
      <w:r>
        <w:rPr>
          <w:rFonts w:hint="eastAsia" w:ascii="Times New Roman" w:hAnsi="Times New Roman" w:eastAsia="仿宋" w:cs="Times New Roman"/>
          <w:b/>
          <w:bCs/>
          <w:color w:val="auto"/>
          <w:spacing w:val="5"/>
          <w:sz w:val="32"/>
          <w:szCs w:val="32"/>
          <w:highlight w:val="none"/>
          <w:lang w:val="en-US" w:eastAsia="zh-CN"/>
        </w:rPr>
        <w:fldChar w:fldCharType="end"/>
      </w:r>
      <w:bookmarkEnd w:id="34"/>
    </w:p>
    <w:p>
      <w:pPr>
        <w:keepNext w:val="0"/>
        <w:keepLines w:val="0"/>
        <w:pageBreakBefore w:val="0"/>
        <w:widowControl w:val="0"/>
        <w:numPr>
          <w:ilvl w:val="2"/>
          <w:numId w:val="0"/>
        </w:numPr>
        <w:kinsoku/>
        <w:wordWrap/>
        <w:overflowPunct/>
        <w:topLinePunct w:val="0"/>
        <w:autoSpaceDE/>
        <w:autoSpaceDN/>
        <w:bidi w:val="0"/>
        <w:adjustRightInd/>
        <w:snapToGrid/>
        <w:spacing w:before="156" w:beforeLines="50" w:after="120" w:line="360" w:lineRule="auto"/>
        <w:ind w:left="0" w:firstLine="643" w:firstLineChars="200"/>
        <w:jc w:val="both"/>
        <w:textAlignment w:val="auto"/>
        <w:outlineLvl w:val="3"/>
        <w:rPr>
          <w:rFonts w:hint="eastAsia" w:ascii="仿宋" w:hAnsi="仿宋" w:eastAsia="仿宋" w:cs="仿宋"/>
          <w:b/>
          <w:bCs/>
          <w:color w:val="auto"/>
          <w:kern w:val="2"/>
          <w:sz w:val="32"/>
          <w:szCs w:val="32"/>
          <w:highlight w:val="none"/>
          <w:lang w:val="en-US" w:eastAsia="zh-CN" w:bidi="ar-SA"/>
        </w:rPr>
      </w:pPr>
      <w:bookmarkStart w:id="35" w:name="_Toc21075"/>
      <w:r>
        <w:rPr>
          <w:rFonts w:hint="eastAsia" w:ascii="仿宋" w:hAnsi="仿宋" w:eastAsia="仿宋" w:cs="仿宋"/>
          <w:b/>
          <w:bCs/>
          <w:color w:val="auto"/>
          <w:kern w:val="2"/>
          <w:sz w:val="32"/>
          <w:szCs w:val="32"/>
          <w:highlight w:val="none"/>
          <w:lang w:val="en-US" w:eastAsia="zh-CN" w:bidi="ar-SA"/>
        </w:rPr>
        <w:t>（1）水资源总量情况</w:t>
      </w:r>
      <w:bookmarkEnd w:id="35"/>
    </w:p>
    <w:p>
      <w:pPr>
        <w:spacing w:line="360" w:lineRule="auto"/>
        <w:ind w:firstLine="640" w:firstLineChars="200"/>
        <w:jc w:val="both"/>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2020年，策勒县各</w:t>
      </w:r>
      <w:r>
        <w:rPr>
          <w:rFonts w:hint="default" w:ascii="仿宋_GB2312" w:hAnsi="仿宋_GB2312" w:eastAsia="仿宋_GB2312" w:cs="仿宋_GB2312"/>
          <w:color w:val="auto"/>
          <w:sz w:val="32"/>
          <w:szCs w:val="32"/>
          <w:highlight w:val="none"/>
          <w:lang w:val="en-US" w:eastAsia="zh-CN"/>
        </w:rPr>
        <w:t>河流年地表径流总量6.8亿m³（不包括发源于昆仑山南坡玉龙喀什河，以及昆仑山区的阿克库勒湖、乌库克库勒湖等封闭内陆区），地表水可利用量5.7亿m³。全县地下水可开采量1.449亿m³，重复量0.2814亿m³。全县总水资源可利用量6.9亿立方米。</w:t>
      </w:r>
    </w:p>
    <w:p>
      <w:pPr>
        <w:jc w:val="center"/>
        <w:rPr>
          <w:rFonts w:hint="default" w:ascii="Times New Roman" w:hAnsi="Times New Roman" w:eastAsia="仿宋_GB2312"/>
          <w:b/>
          <w:color w:val="auto"/>
          <w:spacing w:val="-4"/>
          <w:sz w:val="24"/>
          <w:szCs w:val="24"/>
          <w:highlight w:val="none"/>
          <w:lang w:val="en-US" w:eastAsia="zh-CN"/>
        </w:rPr>
      </w:pPr>
      <w:r>
        <w:rPr>
          <w:rFonts w:hint="eastAsia" w:ascii="Times New Roman" w:hAnsi="Times New Roman" w:eastAsia="仿宋_GB2312"/>
          <w:b/>
          <w:color w:val="auto"/>
          <w:spacing w:val="-4"/>
          <w:sz w:val="24"/>
          <w:szCs w:val="24"/>
          <w:highlight w:val="none"/>
          <w:lang w:val="en-US" w:eastAsia="zh-CN"/>
        </w:rPr>
        <w:t>表3.1-1  策勒县主要河流地表水资源情况</w:t>
      </w:r>
    </w:p>
    <w:tbl>
      <w:tblPr>
        <w:tblStyle w:val="26"/>
        <w:tblW w:w="78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43"/>
        <w:gridCol w:w="1942"/>
        <w:gridCol w:w="1959"/>
        <w:gridCol w:w="1688"/>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96" w:hRule="atLeast"/>
          <w:jc w:val="center"/>
        </w:trPr>
        <w:tc>
          <w:tcPr>
            <w:tcW w:w="743"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序号</w:t>
            </w:r>
          </w:p>
        </w:tc>
        <w:tc>
          <w:tcPr>
            <w:tcW w:w="1942"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河流（km）</w:t>
            </w:r>
          </w:p>
        </w:tc>
        <w:tc>
          <w:tcPr>
            <w:tcW w:w="1959"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流域面积（km</w:t>
            </w:r>
            <w:r>
              <w:rPr>
                <w:rFonts w:hint="eastAsia" w:ascii="仿宋" w:hAnsi="仿宋" w:eastAsia="仿宋" w:cs="仿宋"/>
                <w:color w:val="auto"/>
                <w:kern w:val="0"/>
                <w:sz w:val="22"/>
                <w:szCs w:val="22"/>
                <w:highlight w:val="none"/>
                <w:vertAlign w:val="superscript"/>
                <w:lang w:val="en-US" w:eastAsia="zh-CN" w:bidi="ar"/>
              </w:rPr>
              <w:t>2</w:t>
            </w:r>
            <w:r>
              <w:rPr>
                <w:rFonts w:hint="eastAsia" w:ascii="仿宋" w:hAnsi="仿宋" w:eastAsia="仿宋" w:cs="仿宋"/>
                <w:color w:val="auto"/>
                <w:kern w:val="0"/>
                <w:sz w:val="22"/>
                <w:szCs w:val="22"/>
                <w:highlight w:val="none"/>
                <w:lang w:val="en-US" w:eastAsia="zh-CN" w:bidi="ar"/>
              </w:rPr>
              <w:t>）</w:t>
            </w:r>
          </w:p>
        </w:tc>
        <w:tc>
          <w:tcPr>
            <w:tcW w:w="1688"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年径流量</w:t>
            </w:r>
          </w:p>
        </w:tc>
        <w:tc>
          <w:tcPr>
            <w:tcW w:w="1486"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可利用量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743"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1</w:t>
            </w:r>
          </w:p>
        </w:tc>
        <w:tc>
          <w:tcPr>
            <w:tcW w:w="1942"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策勒河</w:t>
            </w:r>
          </w:p>
        </w:tc>
        <w:tc>
          <w:tcPr>
            <w:tcW w:w="1959"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134</w:t>
            </w:r>
          </w:p>
        </w:tc>
        <w:tc>
          <w:tcPr>
            <w:tcW w:w="1688"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3284.7</w:t>
            </w:r>
          </w:p>
        </w:tc>
        <w:tc>
          <w:tcPr>
            <w:tcW w:w="1486"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743"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2</w:t>
            </w:r>
          </w:p>
        </w:tc>
        <w:tc>
          <w:tcPr>
            <w:tcW w:w="1942"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恰恰河</w:t>
            </w:r>
          </w:p>
        </w:tc>
        <w:tc>
          <w:tcPr>
            <w:tcW w:w="1959"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131</w:t>
            </w:r>
          </w:p>
        </w:tc>
        <w:tc>
          <w:tcPr>
            <w:tcW w:w="1688"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1196.6</w:t>
            </w:r>
          </w:p>
        </w:tc>
        <w:tc>
          <w:tcPr>
            <w:tcW w:w="1486"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0.9728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743"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3</w:t>
            </w:r>
          </w:p>
        </w:tc>
        <w:tc>
          <w:tcPr>
            <w:tcW w:w="1942"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乌鲁克萨依河</w:t>
            </w:r>
          </w:p>
        </w:tc>
        <w:tc>
          <w:tcPr>
            <w:tcW w:w="1959"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126.7</w:t>
            </w:r>
          </w:p>
        </w:tc>
        <w:tc>
          <w:tcPr>
            <w:tcW w:w="1688"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2896.7</w:t>
            </w:r>
          </w:p>
        </w:tc>
        <w:tc>
          <w:tcPr>
            <w:tcW w:w="1486"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1.0968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743"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4</w:t>
            </w:r>
          </w:p>
        </w:tc>
        <w:tc>
          <w:tcPr>
            <w:tcW w:w="1942"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努尔河</w:t>
            </w:r>
          </w:p>
        </w:tc>
        <w:tc>
          <w:tcPr>
            <w:tcW w:w="1959"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119</w:t>
            </w:r>
          </w:p>
        </w:tc>
        <w:tc>
          <w:tcPr>
            <w:tcW w:w="1688"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1275.5</w:t>
            </w:r>
          </w:p>
        </w:tc>
        <w:tc>
          <w:tcPr>
            <w:tcW w:w="1486"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1.5415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743"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5</w:t>
            </w:r>
          </w:p>
        </w:tc>
        <w:tc>
          <w:tcPr>
            <w:tcW w:w="1942"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萨依瓦克河</w:t>
            </w:r>
          </w:p>
        </w:tc>
        <w:tc>
          <w:tcPr>
            <w:tcW w:w="1959"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42.9</w:t>
            </w:r>
          </w:p>
        </w:tc>
        <w:tc>
          <w:tcPr>
            <w:tcW w:w="1688"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256.2</w:t>
            </w:r>
          </w:p>
        </w:tc>
        <w:tc>
          <w:tcPr>
            <w:tcW w:w="1486"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0.2617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743"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6</w:t>
            </w:r>
          </w:p>
        </w:tc>
        <w:tc>
          <w:tcPr>
            <w:tcW w:w="1942"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布藏河</w:t>
            </w:r>
          </w:p>
        </w:tc>
        <w:tc>
          <w:tcPr>
            <w:tcW w:w="1959"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57.9</w:t>
            </w:r>
          </w:p>
        </w:tc>
        <w:tc>
          <w:tcPr>
            <w:tcW w:w="1688"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745.6</w:t>
            </w:r>
          </w:p>
        </w:tc>
        <w:tc>
          <w:tcPr>
            <w:tcW w:w="1486"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743"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7</w:t>
            </w:r>
          </w:p>
        </w:tc>
        <w:tc>
          <w:tcPr>
            <w:tcW w:w="1942"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阿克赛音河</w:t>
            </w:r>
          </w:p>
        </w:tc>
        <w:tc>
          <w:tcPr>
            <w:tcW w:w="1959"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71.2</w:t>
            </w:r>
          </w:p>
        </w:tc>
        <w:tc>
          <w:tcPr>
            <w:tcW w:w="1688"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564.2</w:t>
            </w:r>
          </w:p>
        </w:tc>
        <w:tc>
          <w:tcPr>
            <w:tcW w:w="1486"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0.3062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743"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8</w:t>
            </w:r>
          </w:p>
        </w:tc>
        <w:tc>
          <w:tcPr>
            <w:tcW w:w="1942"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卡尔苏河</w:t>
            </w:r>
          </w:p>
        </w:tc>
        <w:tc>
          <w:tcPr>
            <w:tcW w:w="1959"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91.7</w:t>
            </w:r>
          </w:p>
        </w:tc>
        <w:tc>
          <w:tcPr>
            <w:tcW w:w="1688"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748.2</w:t>
            </w:r>
          </w:p>
        </w:tc>
        <w:tc>
          <w:tcPr>
            <w:tcW w:w="1486"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0.1006</w:t>
            </w:r>
          </w:p>
        </w:tc>
      </w:tr>
    </w:tbl>
    <w:p>
      <w:pPr>
        <w:keepNext w:val="0"/>
        <w:keepLines w:val="0"/>
        <w:pageBreakBefore w:val="0"/>
        <w:widowControl w:val="0"/>
        <w:numPr>
          <w:ilvl w:val="2"/>
          <w:numId w:val="0"/>
        </w:numPr>
        <w:kinsoku/>
        <w:wordWrap/>
        <w:overflowPunct/>
        <w:topLinePunct w:val="0"/>
        <w:autoSpaceDE/>
        <w:autoSpaceDN/>
        <w:bidi w:val="0"/>
        <w:adjustRightInd/>
        <w:snapToGrid/>
        <w:spacing w:before="156" w:beforeLines="50" w:after="120" w:line="360" w:lineRule="auto"/>
        <w:ind w:left="0" w:firstLine="643" w:firstLineChars="200"/>
        <w:jc w:val="both"/>
        <w:textAlignment w:val="auto"/>
        <w:outlineLvl w:val="3"/>
        <w:rPr>
          <w:rFonts w:hint="eastAsia" w:ascii="仿宋" w:hAnsi="仿宋" w:eastAsia="仿宋" w:cs="仿宋"/>
          <w:b/>
          <w:bCs/>
          <w:color w:val="auto"/>
          <w:kern w:val="2"/>
          <w:sz w:val="32"/>
          <w:szCs w:val="32"/>
          <w:highlight w:val="none"/>
          <w:lang w:val="en-US" w:eastAsia="zh-CN" w:bidi="ar-SA"/>
        </w:rPr>
      </w:pPr>
      <w:bookmarkStart w:id="36" w:name="_Toc18564"/>
      <w:r>
        <w:rPr>
          <w:rFonts w:hint="eastAsia" w:ascii="仿宋" w:hAnsi="仿宋" w:eastAsia="仿宋" w:cs="仿宋"/>
          <w:b/>
          <w:bCs/>
          <w:color w:val="auto"/>
          <w:kern w:val="2"/>
          <w:sz w:val="32"/>
          <w:szCs w:val="32"/>
          <w:highlight w:val="none"/>
          <w:lang w:val="en-US" w:eastAsia="zh-CN" w:bidi="ar-SA"/>
        </w:rPr>
        <w:t>（2）水资源利用情况</w:t>
      </w:r>
      <w:bookmarkEnd w:id="36"/>
    </w:p>
    <w:p>
      <w:pPr>
        <w:keepNext w:val="0"/>
        <w:keepLines w:val="0"/>
        <w:pageBreakBefore w:val="0"/>
        <w:widowControl/>
        <w:kinsoku w:val="0"/>
        <w:wordWrap/>
        <w:overflowPunct/>
        <w:topLinePunct w:val="0"/>
        <w:autoSpaceDE w:val="0"/>
        <w:autoSpaceDN w:val="0"/>
        <w:bidi w:val="0"/>
        <w:adjustRightInd w:val="0"/>
        <w:snapToGrid w:val="0"/>
        <w:spacing w:before="285" w:line="360" w:lineRule="auto"/>
        <w:jc w:val="left"/>
        <w:textAlignment w:val="baseline"/>
        <w:rPr>
          <w:rFonts w:hint="eastAsia" w:ascii="Times New Roman" w:hAnsi="Times New Roman" w:eastAsia="仿宋" w:cs="Times New Roman"/>
          <w:b/>
          <w:bCs/>
          <w:color w:val="auto"/>
          <w:sz w:val="32"/>
          <w:szCs w:val="32"/>
          <w:highlight w:val="none"/>
          <w:lang w:val="en-US" w:eastAsia="zh-CN"/>
        </w:rPr>
      </w:pPr>
      <w:r>
        <w:rPr>
          <w:rFonts w:hint="eastAsia" w:ascii="Times New Roman" w:hAnsi="Times New Roman" w:eastAsia="仿宋" w:cs="Times New Roman"/>
          <w:b/>
          <w:bCs/>
          <w:color w:val="auto"/>
          <w:sz w:val="32"/>
          <w:szCs w:val="32"/>
          <w:highlight w:val="none"/>
          <w:lang w:val="en-US" w:eastAsia="zh-CN"/>
        </w:rPr>
        <w:t>a各业用水情况</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用水总量方面，2018年工业用水量、农业用水量、生活用水量、其他用水量占比分别：0.22%、91.46%、2.87%、5.45%。</w:t>
      </w:r>
    </w:p>
    <w:p>
      <w:pPr>
        <w:jc w:val="center"/>
        <w:rPr>
          <w:rFonts w:hint="default" w:ascii="Times New Roman" w:hAnsi="Times New Roman" w:eastAsia="仿宋_GB2312"/>
          <w:b/>
          <w:color w:val="auto"/>
          <w:spacing w:val="-4"/>
          <w:sz w:val="24"/>
          <w:szCs w:val="24"/>
          <w:highlight w:val="none"/>
          <w:lang w:val="en-US" w:eastAsia="zh-CN"/>
        </w:rPr>
      </w:pPr>
      <w:r>
        <w:rPr>
          <w:rFonts w:hint="eastAsia" w:ascii="Times New Roman" w:hAnsi="Times New Roman" w:eastAsia="仿宋_GB2312"/>
          <w:b/>
          <w:color w:val="auto"/>
          <w:spacing w:val="-4"/>
          <w:sz w:val="24"/>
          <w:szCs w:val="24"/>
          <w:highlight w:val="none"/>
          <w:lang w:val="en-US" w:eastAsia="zh-CN"/>
        </w:rPr>
        <w:t>表3.1-1   策勒县十三五指标及完成情况（各业水资源用水情况）</w:t>
      </w:r>
    </w:p>
    <w:tbl>
      <w:tblPr>
        <w:tblStyle w:val="26"/>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44"/>
        <w:gridCol w:w="918"/>
        <w:gridCol w:w="1311"/>
        <w:gridCol w:w="1311"/>
        <w:gridCol w:w="1311"/>
        <w:gridCol w:w="1311"/>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1044"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项目</w:t>
            </w:r>
          </w:p>
        </w:tc>
        <w:tc>
          <w:tcPr>
            <w:tcW w:w="918"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年份</w:t>
            </w:r>
          </w:p>
        </w:tc>
        <w:tc>
          <w:tcPr>
            <w:tcW w:w="131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合计（万m</w:t>
            </w:r>
            <w:r>
              <w:rPr>
                <w:rFonts w:hint="eastAsia" w:ascii="仿宋" w:hAnsi="仿宋" w:eastAsia="仿宋" w:cs="仿宋"/>
                <w:color w:val="auto"/>
                <w:kern w:val="0"/>
                <w:sz w:val="22"/>
                <w:szCs w:val="22"/>
                <w:highlight w:val="none"/>
                <w:vertAlign w:val="superscript"/>
                <w:lang w:val="en-US" w:eastAsia="zh-CN" w:bidi="ar"/>
              </w:rPr>
              <w:t>3</w:t>
            </w:r>
            <w:r>
              <w:rPr>
                <w:rFonts w:hint="eastAsia" w:ascii="仿宋" w:hAnsi="仿宋" w:eastAsia="仿宋" w:cs="仿宋"/>
                <w:color w:val="auto"/>
                <w:kern w:val="0"/>
                <w:sz w:val="22"/>
                <w:szCs w:val="22"/>
                <w:highlight w:val="none"/>
                <w:lang w:val="en-US" w:eastAsia="zh-CN" w:bidi="ar"/>
              </w:rPr>
              <w:t>）</w:t>
            </w:r>
          </w:p>
        </w:tc>
        <w:tc>
          <w:tcPr>
            <w:tcW w:w="131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工业（万m</w:t>
            </w:r>
            <w:r>
              <w:rPr>
                <w:rFonts w:hint="eastAsia" w:ascii="仿宋" w:hAnsi="仿宋" w:eastAsia="仿宋" w:cs="仿宋"/>
                <w:color w:val="auto"/>
                <w:kern w:val="0"/>
                <w:sz w:val="22"/>
                <w:szCs w:val="22"/>
                <w:highlight w:val="none"/>
                <w:vertAlign w:val="superscript"/>
                <w:lang w:val="en-US" w:eastAsia="zh-CN" w:bidi="ar"/>
              </w:rPr>
              <w:t>3</w:t>
            </w:r>
            <w:r>
              <w:rPr>
                <w:rFonts w:hint="eastAsia" w:ascii="仿宋" w:hAnsi="仿宋" w:eastAsia="仿宋" w:cs="仿宋"/>
                <w:color w:val="auto"/>
                <w:kern w:val="0"/>
                <w:sz w:val="22"/>
                <w:szCs w:val="22"/>
                <w:highlight w:val="none"/>
                <w:lang w:val="en-US" w:eastAsia="zh-CN" w:bidi="ar"/>
              </w:rPr>
              <w:t>）</w:t>
            </w:r>
          </w:p>
        </w:tc>
        <w:tc>
          <w:tcPr>
            <w:tcW w:w="131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农业（万m</w:t>
            </w:r>
            <w:r>
              <w:rPr>
                <w:rFonts w:hint="eastAsia" w:ascii="仿宋" w:hAnsi="仿宋" w:eastAsia="仿宋" w:cs="仿宋"/>
                <w:color w:val="auto"/>
                <w:kern w:val="0"/>
                <w:sz w:val="22"/>
                <w:szCs w:val="22"/>
                <w:highlight w:val="none"/>
                <w:vertAlign w:val="superscript"/>
                <w:lang w:val="en-US" w:eastAsia="zh-CN" w:bidi="ar"/>
              </w:rPr>
              <w:t>3</w:t>
            </w:r>
            <w:r>
              <w:rPr>
                <w:rFonts w:hint="eastAsia" w:ascii="仿宋" w:hAnsi="仿宋" w:eastAsia="仿宋" w:cs="仿宋"/>
                <w:color w:val="auto"/>
                <w:kern w:val="0"/>
                <w:sz w:val="22"/>
                <w:szCs w:val="22"/>
                <w:highlight w:val="none"/>
                <w:lang w:val="en-US" w:eastAsia="zh-CN" w:bidi="ar"/>
              </w:rPr>
              <w:t>）</w:t>
            </w:r>
          </w:p>
        </w:tc>
        <w:tc>
          <w:tcPr>
            <w:tcW w:w="131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生活（万m</w:t>
            </w:r>
            <w:r>
              <w:rPr>
                <w:rFonts w:hint="eastAsia" w:ascii="仿宋" w:hAnsi="仿宋" w:eastAsia="仿宋" w:cs="仿宋"/>
                <w:color w:val="auto"/>
                <w:kern w:val="0"/>
                <w:sz w:val="22"/>
                <w:szCs w:val="22"/>
                <w:highlight w:val="none"/>
                <w:vertAlign w:val="superscript"/>
                <w:lang w:val="en-US" w:eastAsia="zh-CN" w:bidi="ar"/>
              </w:rPr>
              <w:t>3</w:t>
            </w:r>
            <w:r>
              <w:rPr>
                <w:rFonts w:hint="eastAsia" w:ascii="仿宋" w:hAnsi="仿宋" w:eastAsia="仿宋" w:cs="仿宋"/>
                <w:color w:val="auto"/>
                <w:kern w:val="0"/>
                <w:sz w:val="22"/>
                <w:szCs w:val="22"/>
                <w:highlight w:val="none"/>
                <w:lang w:val="en-US" w:eastAsia="zh-CN" w:bidi="ar"/>
              </w:rPr>
              <w:t>）</w:t>
            </w:r>
          </w:p>
        </w:tc>
        <w:tc>
          <w:tcPr>
            <w:tcW w:w="131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其他（万m</w:t>
            </w:r>
            <w:r>
              <w:rPr>
                <w:rFonts w:hint="eastAsia" w:ascii="仿宋" w:hAnsi="仿宋" w:eastAsia="仿宋" w:cs="仿宋"/>
                <w:color w:val="auto"/>
                <w:kern w:val="0"/>
                <w:sz w:val="22"/>
                <w:szCs w:val="22"/>
                <w:highlight w:val="none"/>
                <w:vertAlign w:val="superscript"/>
                <w:lang w:val="en-US" w:eastAsia="zh-CN" w:bidi="ar"/>
              </w:rPr>
              <w:t>3</w:t>
            </w:r>
            <w:r>
              <w:rPr>
                <w:rFonts w:hint="eastAsia" w:ascii="仿宋" w:hAnsi="仿宋" w:eastAsia="仿宋" w:cs="仿宋"/>
                <w:color w:val="auto"/>
                <w:kern w:val="0"/>
                <w:sz w:val="22"/>
                <w:szCs w:val="22"/>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044"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规划指标</w:t>
            </w:r>
          </w:p>
        </w:tc>
        <w:tc>
          <w:tcPr>
            <w:tcW w:w="918"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2020年</w:t>
            </w:r>
          </w:p>
        </w:tc>
        <w:tc>
          <w:tcPr>
            <w:tcW w:w="131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26526</w:t>
            </w:r>
          </w:p>
        </w:tc>
        <w:tc>
          <w:tcPr>
            <w:tcW w:w="131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79</w:t>
            </w:r>
          </w:p>
        </w:tc>
        <w:tc>
          <w:tcPr>
            <w:tcW w:w="131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25565</w:t>
            </w:r>
          </w:p>
        </w:tc>
        <w:tc>
          <w:tcPr>
            <w:tcW w:w="131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522</w:t>
            </w:r>
          </w:p>
        </w:tc>
        <w:tc>
          <w:tcPr>
            <w:tcW w:w="131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044"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完成指标</w:t>
            </w:r>
          </w:p>
        </w:tc>
        <w:tc>
          <w:tcPr>
            <w:tcW w:w="918"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2018年</w:t>
            </w:r>
          </w:p>
        </w:tc>
        <w:tc>
          <w:tcPr>
            <w:tcW w:w="131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28000</w:t>
            </w:r>
          </w:p>
        </w:tc>
        <w:tc>
          <w:tcPr>
            <w:tcW w:w="131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61</w:t>
            </w:r>
          </w:p>
        </w:tc>
        <w:tc>
          <w:tcPr>
            <w:tcW w:w="131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25610</w:t>
            </w:r>
          </w:p>
        </w:tc>
        <w:tc>
          <w:tcPr>
            <w:tcW w:w="131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804</w:t>
            </w:r>
          </w:p>
        </w:tc>
        <w:tc>
          <w:tcPr>
            <w:tcW w:w="131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044"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占比</w:t>
            </w:r>
          </w:p>
        </w:tc>
        <w:tc>
          <w:tcPr>
            <w:tcW w:w="918"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p>
        </w:tc>
        <w:tc>
          <w:tcPr>
            <w:tcW w:w="131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p>
        </w:tc>
        <w:tc>
          <w:tcPr>
            <w:tcW w:w="131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0.22%</w:t>
            </w:r>
          </w:p>
        </w:tc>
        <w:tc>
          <w:tcPr>
            <w:tcW w:w="131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91.46%</w:t>
            </w:r>
          </w:p>
        </w:tc>
        <w:tc>
          <w:tcPr>
            <w:tcW w:w="131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2.87%</w:t>
            </w:r>
          </w:p>
        </w:tc>
        <w:tc>
          <w:tcPr>
            <w:tcW w:w="131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5.45%</w:t>
            </w:r>
          </w:p>
        </w:tc>
      </w:tr>
    </w:tbl>
    <w:p>
      <w:pPr>
        <w:keepNext w:val="0"/>
        <w:keepLines w:val="0"/>
        <w:pageBreakBefore w:val="0"/>
        <w:widowControl/>
        <w:kinsoku w:val="0"/>
        <w:wordWrap/>
        <w:overflowPunct/>
        <w:topLinePunct w:val="0"/>
        <w:autoSpaceDE w:val="0"/>
        <w:autoSpaceDN w:val="0"/>
        <w:bidi w:val="0"/>
        <w:adjustRightInd w:val="0"/>
        <w:snapToGrid w:val="0"/>
        <w:spacing w:before="285" w:line="360" w:lineRule="auto"/>
        <w:jc w:val="left"/>
        <w:textAlignment w:val="baseline"/>
        <w:rPr>
          <w:rFonts w:hint="eastAsia" w:ascii="Times New Roman" w:hAnsi="Times New Roman" w:eastAsia="仿宋" w:cs="Times New Roman"/>
          <w:b/>
          <w:bCs/>
          <w:color w:val="auto"/>
          <w:sz w:val="32"/>
          <w:szCs w:val="32"/>
          <w:highlight w:val="none"/>
          <w:lang w:val="en-US" w:eastAsia="zh-CN"/>
        </w:rPr>
      </w:pPr>
      <w:r>
        <w:rPr>
          <w:rFonts w:hint="eastAsia" w:ascii="Times New Roman" w:hAnsi="Times New Roman" w:eastAsia="仿宋" w:cs="Times New Roman"/>
          <w:b/>
          <w:bCs/>
          <w:color w:val="auto"/>
          <w:sz w:val="32"/>
          <w:szCs w:val="32"/>
          <w:highlight w:val="none"/>
          <w:lang w:val="en-US" w:eastAsia="zh-CN"/>
        </w:rPr>
        <w:t>b各乡镇用水量情况</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2020全县用水量最多的是策勒镇，占全县总用水量的21.55%，其次是策勒乡、恰恰乡和博斯坦乡，分别为19.24%、17.07%和16.51%。</w:t>
      </w:r>
    </w:p>
    <w:p>
      <w:pPr>
        <w:keepNext w:val="0"/>
        <w:keepLines w:val="0"/>
        <w:pageBreakBefore w:val="0"/>
        <w:widowControl/>
        <w:kinsoku w:val="0"/>
        <w:wordWrap/>
        <w:overflowPunct/>
        <w:topLinePunct w:val="0"/>
        <w:autoSpaceDE w:val="0"/>
        <w:autoSpaceDN w:val="0"/>
        <w:bidi w:val="0"/>
        <w:adjustRightInd w:val="0"/>
        <w:snapToGrid w:val="0"/>
        <w:spacing w:before="285" w:line="360" w:lineRule="auto"/>
        <w:jc w:val="left"/>
        <w:textAlignment w:val="baseline"/>
        <w:outlineLvl w:val="9"/>
        <w:rPr>
          <w:rFonts w:hint="eastAsia" w:ascii="Times New Roman" w:hAnsi="Times New Roman" w:eastAsia="仿宋" w:cs="Times New Roman"/>
          <w:b/>
          <w:bCs/>
          <w:color w:val="auto"/>
          <w:sz w:val="32"/>
          <w:szCs w:val="32"/>
          <w:highlight w:val="none"/>
          <w:lang w:val="en-US" w:eastAsia="zh-CN"/>
        </w:rPr>
      </w:pPr>
      <w:bookmarkStart w:id="37" w:name="_Toc232"/>
      <w:r>
        <w:rPr>
          <w:rFonts w:hint="eastAsia" w:ascii="Times New Roman" w:hAnsi="Times New Roman" w:eastAsia="仿宋" w:cs="Times New Roman"/>
          <w:b/>
          <w:bCs/>
          <w:color w:val="auto"/>
          <w:sz w:val="32"/>
          <w:szCs w:val="32"/>
          <w:highlight w:val="none"/>
          <w:lang w:val="en-US" w:eastAsia="zh-CN"/>
        </w:rPr>
        <w:t>c用水效率情况</w:t>
      </w:r>
      <w:bookmarkEnd w:id="37"/>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用水效率方面，截止2018年底，策勒县总用水量2.80亿m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val="en-US" w:eastAsia="zh-CN"/>
        </w:rPr>
        <w:t>(由表3.1-2可知，2020 年用水总量控制指标2.6526亿m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val="en-US" w:eastAsia="zh-CN"/>
        </w:rPr>
        <w:t>),其中农业需水量为2.561亿m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val="en-US" w:eastAsia="zh-CN"/>
        </w:rPr>
        <w:t>，策勒县总灌溉面积.42.25万亩(水利普查确定的灌溉面积)，灌溉水利用系数由2015年的0.48提高到2018年0. 53,毛灌溉定额由2015年的785. 42m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val="en-US" w:eastAsia="zh-CN"/>
        </w:rPr>
        <w:t>/亩减少到2018年的606. 15m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val="en-US" w:eastAsia="zh-CN"/>
        </w:rPr>
        <w:t>/亩,农业综合毛灌溉定额已达标，灌溉水利用系数到2020年底随着常规节水与高效节水灌溉面积的增加有望达到0.561。</w:t>
      </w:r>
      <w:r>
        <w:rPr>
          <w:rFonts w:hint="eastAsia" w:ascii="仿宋_GB2312" w:hAnsi="仿宋_GB2312" w:eastAsia="仿宋_GB2312" w:cs="仿宋_GB2312"/>
          <w:color w:val="auto"/>
          <w:sz w:val="32"/>
          <w:szCs w:val="32"/>
          <w:highlight w:val="none"/>
          <w:lang w:val="en-US" w:eastAsia="zh-CN"/>
        </w:rPr>
        <w:br w:type="textWrapping"/>
      </w:r>
      <w:r>
        <w:rPr>
          <w:rFonts w:hint="eastAsia" w:ascii="仿宋_GB2312" w:hAnsi="仿宋_GB2312" w:eastAsia="仿宋_GB2312" w:cs="仿宋_GB2312"/>
          <w:color w:val="auto"/>
          <w:sz w:val="32"/>
          <w:szCs w:val="32"/>
          <w:highlight w:val="none"/>
          <w:lang w:val="en-US" w:eastAsia="zh-CN"/>
        </w:rPr>
        <w:t xml:space="preserve">    通过提高工业用水重复率和发展循环经济，策勒县万元GDP用水量达到1423.40m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val="en-US" w:eastAsia="zh-CN"/>
        </w:rPr>
        <w:t>，扣除农业用水万元GDP用水量达到131. 91m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val="en-US" w:eastAsia="zh-CN"/>
        </w:rPr>
        <w:t>，万元工业增加值用水量由2015年134. 46m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val="en-US" w:eastAsia="zh-CN"/>
        </w:rPr>
        <w:t>/万元，降低到2018年的130. 71m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val="en-US" w:eastAsia="zh-CN"/>
        </w:rPr>
        <w:t>/万元，年均降低0.92%。</w:t>
      </w:r>
    </w:p>
    <w:p>
      <w:pPr>
        <w:pStyle w:val="13"/>
        <w:rPr>
          <w:rFonts w:hint="default"/>
          <w:color w:val="auto"/>
          <w:highlight w:val="none"/>
          <w:lang w:val="en-US" w:eastAsia="zh-CN"/>
        </w:rPr>
      </w:pPr>
      <w:r>
        <w:rPr>
          <w:rFonts w:hint="eastAsia"/>
          <w:color w:val="auto"/>
          <w:highlight w:val="none"/>
          <w:lang w:val="en-US" w:eastAsia="zh-CN"/>
        </w:rPr>
        <w:t xml:space="preserve">  </w:t>
      </w:r>
      <w:r>
        <w:rPr>
          <w:rFonts w:hint="eastAsia" w:ascii="Times New Roman" w:hAnsi="Times New Roman" w:eastAsia="仿宋_GB2312" w:cstheme="minorBidi"/>
          <w:b/>
          <w:color w:val="auto"/>
          <w:spacing w:val="-4"/>
          <w:kern w:val="2"/>
          <w:sz w:val="24"/>
          <w:szCs w:val="24"/>
          <w:highlight w:val="none"/>
          <w:lang w:val="en-US" w:eastAsia="zh-CN" w:bidi="ar-SA"/>
        </w:rPr>
        <w:t xml:space="preserve">     </w:t>
      </w:r>
      <w:r>
        <w:rPr>
          <w:rFonts w:hint="eastAsia" w:ascii="Times New Roman" w:hAnsi="Times New Roman" w:eastAsia="仿宋_GB2312"/>
          <w:b/>
          <w:color w:val="auto"/>
          <w:spacing w:val="-4"/>
          <w:sz w:val="24"/>
          <w:szCs w:val="24"/>
          <w:highlight w:val="none"/>
          <w:lang w:val="en-US" w:eastAsia="zh-CN"/>
        </w:rPr>
        <w:t xml:space="preserve">表3.1-2  </w:t>
      </w:r>
      <w:r>
        <w:rPr>
          <w:rFonts w:hint="eastAsia" w:ascii="Times New Roman" w:hAnsi="Times New Roman" w:eastAsia="仿宋_GB2312" w:cstheme="minorBidi"/>
          <w:b/>
          <w:color w:val="auto"/>
          <w:spacing w:val="-4"/>
          <w:kern w:val="2"/>
          <w:sz w:val="24"/>
          <w:szCs w:val="24"/>
          <w:highlight w:val="none"/>
          <w:lang w:val="en-US" w:eastAsia="zh-CN" w:bidi="ar-SA"/>
        </w:rPr>
        <w:t>策勒县十三五用水指标及完成指标情况</w:t>
      </w:r>
    </w:p>
    <w:tbl>
      <w:tblPr>
        <w:tblStyle w:val="26"/>
        <w:tblW w:w="852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4"/>
        <w:gridCol w:w="791"/>
        <w:gridCol w:w="1644"/>
        <w:gridCol w:w="1197"/>
        <w:gridCol w:w="1820"/>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794"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指标</w:t>
            </w:r>
          </w:p>
        </w:tc>
        <w:tc>
          <w:tcPr>
            <w:tcW w:w="79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年份</w:t>
            </w:r>
          </w:p>
        </w:tc>
        <w:tc>
          <w:tcPr>
            <w:tcW w:w="1644"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高效节水面积（万亩）</w:t>
            </w:r>
          </w:p>
        </w:tc>
        <w:tc>
          <w:tcPr>
            <w:tcW w:w="119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灌溉利用系数</w:t>
            </w:r>
          </w:p>
        </w:tc>
        <w:tc>
          <w:tcPr>
            <w:tcW w:w="1820"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农业综合毛用水定额（m3/亩）</w:t>
            </w:r>
          </w:p>
        </w:tc>
        <w:tc>
          <w:tcPr>
            <w:tcW w:w="2278"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万元工业增加值控制指标（m3/万元）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94" w:type="dxa"/>
            <w:vMerge w:val="restart"/>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用水效率</w:t>
            </w:r>
          </w:p>
        </w:tc>
        <w:tc>
          <w:tcPr>
            <w:tcW w:w="79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2015</w:t>
            </w:r>
          </w:p>
        </w:tc>
        <w:tc>
          <w:tcPr>
            <w:tcW w:w="1644"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8.55</w:t>
            </w:r>
          </w:p>
        </w:tc>
        <w:tc>
          <w:tcPr>
            <w:tcW w:w="119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0.507</w:t>
            </w:r>
          </w:p>
        </w:tc>
        <w:tc>
          <w:tcPr>
            <w:tcW w:w="1820"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710</w:t>
            </w:r>
          </w:p>
        </w:tc>
        <w:tc>
          <w:tcPr>
            <w:tcW w:w="2278"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94" w:type="dxa"/>
            <w:vMerge w:val="continue"/>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p>
        </w:tc>
        <w:tc>
          <w:tcPr>
            <w:tcW w:w="79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2020</w:t>
            </w:r>
          </w:p>
        </w:tc>
        <w:tc>
          <w:tcPr>
            <w:tcW w:w="1644"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12.95</w:t>
            </w:r>
          </w:p>
        </w:tc>
        <w:tc>
          <w:tcPr>
            <w:tcW w:w="119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0.561</w:t>
            </w:r>
          </w:p>
        </w:tc>
        <w:tc>
          <w:tcPr>
            <w:tcW w:w="1820"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690</w:t>
            </w:r>
          </w:p>
        </w:tc>
        <w:tc>
          <w:tcPr>
            <w:tcW w:w="2278"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94" w:type="dxa"/>
            <w:vMerge w:val="restart"/>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完成指标</w:t>
            </w:r>
          </w:p>
        </w:tc>
        <w:tc>
          <w:tcPr>
            <w:tcW w:w="79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2015</w:t>
            </w:r>
          </w:p>
        </w:tc>
        <w:tc>
          <w:tcPr>
            <w:tcW w:w="1644"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6.4</w:t>
            </w:r>
          </w:p>
        </w:tc>
        <w:tc>
          <w:tcPr>
            <w:tcW w:w="119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0.48</w:t>
            </w:r>
          </w:p>
        </w:tc>
        <w:tc>
          <w:tcPr>
            <w:tcW w:w="1820"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785.42</w:t>
            </w:r>
          </w:p>
        </w:tc>
        <w:tc>
          <w:tcPr>
            <w:tcW w:w="2278"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94" w:type="dxa"/>
            <w:vMerge w:val="continue"/>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p>
        </w:tc>
        <w:tc>
          <w:tcPr>
            <w:tcW w:w="79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2018</w:t>
            </w:r>
          </w:p>
        </w:tc>
        <w:tc>
          <w:tcPr>
            <w:tcW w:w="1644"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12.7</w:t>
            </w:r>
          </w:p>
        </w:tc>
        <w:tc>
          <w:tcPr>
            <w:tcW w:w="119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0.53</w:t>
            </w:r>
          </w:p>
        </w:tc>
        <w:tc>
          <w:tcPr>
            <w:tcW w:w="1820"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606.15</w:t>
            </w:r>
          </w:p>
        </w:tc>
        <w:tc>
          <w:tcPr>
            <w:tcW w:w="2278"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130.72</w:t>
            </w:r>
          </w:p>
        </w:tc>
      </w:tr>
    </w:tbl>
    <w:p>
      <w:pPr>
        <w:keepNext w:val="0"/>
        <w:keepLines w:val="0"/>
        <w:pageBreakBefore w:val="0"/>
        <w:widowControl/>
        <w:kinsoku w:val="0"/>
        <w:wordWrap/>
        <w:overflowPunct/>
        <w:topLinePunct w:val="0"/>
        <w:autoSpaceDE w:val="0"/>
        <w:autoSpaceDN w:val="0"/>
        <w:bidi w:val="0"/>
        <w:adjustRightInd w:val="0"/>
        <w:snapToGrid w:val="0"/>
        <w:spacing w:before="285" w:line="360" w:lineRule="auto"/>
        <w:jc w:val="left"/>
        <w:textAlignment w:val="baseline"/>
        <w:rPr>
          <w:rFonts w:hint="eastAsia" w:ascii="Times New Roman" w:hAnsi="Times New Roman" w:eastAsia="仿宋" w:cs="Times New Roman"/>
          <w:b/>
          <w:bCs/>
          <w:color w:val="auto"/>
          <w:sz w:val="32"/>
          <w:szCs w:val="32"/>
          <w:highlight w:val="none"/>
          <w:lang w:val="en-US" w:eastAsia="zh-CN"/>
        </w:rPr>
      </w:pPr>
      <w:r>
        <w:rPr>
          <w:rFonts w:hint="eastAsia" w:ascii="Times New Roman" w:hAnsi="Times New Roman" w:eastAsia="仿宋" w:cs="Times New Roman"/>
          <w:b/>
          <w:bCs/>
          <w:color w:val="auto"/>
          <w:sz w:val="32"/>
          <w:szCs w:val="32"/>
          <w:highlight w:val="none"/>
          <w:lang w:val="en-US" w:eastAsia="zh-CN"/>
        </w:rPr>
        <w:t>d再生水利用情况</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污水再生利用率最高的是策勒镇85%。</w:t>
      </w:r>
    </w:p>
    <w:p>
      <w:pPr>
        <w:spacing w:before="266" w:line="360" w:lineRule="auto"/>
        <w:outlineLvl w:val="2"/>
        <w:rPr>
          <w:rFonts w:hint="eastAsia" w:ascii="Times New Roman" w:hAnsi="Times New Roman" w:eastAsia="仿宋" w:cs="Times New Roman"/>
          <w:b/>
          <w:bCs/>
          <w:color w:val="auto"/>
          <w:spacing w:val="5"/>
          <w:sz w:val="32"/>
          <w:szCs w:val="32"/>
          <w:highlight w:val="none"/>
          <w:lang w:val="en-US" w:eastAsia="zh-CN"/>
        </w:rPr>
      </w:pPr>
      <w:bookmarkStart w:id="38" w:name="_Toc22366"/>
      <w:r>
        <w:rPr>
          <w:rFonts w:hint="eastAsia" w:ascii="Times New Roman" w:hAnsi="Times New Roman" w:eastAsia="仿宋" w:cs="Times New Roman"/>
          <w:b/>
          <w:bCs/>
          <w:color w:val="auto"/>
          <w:spacing w:val="5"/>
          <w:sz w:val="32"/>
          <w:szCs w:val="32"/>
          <w:highlight w:val="none"/>
          <w:lang w:val="en-US" w:eastAsia="zh-CN"/>
        </w:rPr>
        <w:t>4.</w:t>
      </w:r>
      <w:r>
        <w:rPr>
          <w:rFonts w:hint="eastAsia" w:ascii="Times New Roman" w:hAnsi="Times New Roman" w:eastAsia="仿宋" w:cs="Times New Roman"/>
          <w:b/>
          <w:bCs/>
          <w:color w:val="auto"/>
          <w:spacing w:val="5"/>
          <w:sz w:val="32"/>
          <w:szCs w:val="32"/>
          <w:highlight w:val="none"/>
          <w:lang w:val="en-US" w:eastAsia="zh-CN"/>
        </w:rPr>
        <w:fldChar w:fldCharType="begin"/>
      </w:r>
      <w:r>
        <w:rPr>
          <w:rFonts w:hint="eastAsia" w:ascii="Times New Roman" w:hAnsi="Times New Roman" w:eastAsia="仿宋" w:cs="Times New Roman"/>
          <w:b/>
          <w:bCs/>
          <w:color w:val="auto"/>
          <w:spacing w:val="5"/>
          <w:sz w:val="32"/>
          <w:szCs w:val="32"/>
          <w:highlight w:val="none"/>
          <w:lang w:val="en-US" w:eastAsia="zh-CN"/>
        </w:rPr>
        <w:instrText xml:space="preserve"> HYPERLINK \l _Toc15235 </w:instrText>
      </w:r>
      <w:r>
        <w:rPr>
          <w:rFonts w:hint="eastAsia" w:ascii="Times New Roman" w:hAnsi="Times New Roman" w:eastAsia="仿宋" w:cs="Times New Roman"/>
          <w:b/>
          <w:bCs/>
          <w:color w:val="auto"/>
          <w:spacing w:val="5"/>
          <w:sz w:val="32"/>
          <w:szCs w:val="32"/>
          <w:highlight w:val="none"/>
          <w:lang w:val="en-US" w:eastAsia="zh-CN"/>
        </w:rPr>
        <w:fldChar w:fldCharType="separate"/>
      </w:r>
      <w:r>
        <w:rPr>
          <w:rFonts w:hint="eastAsia" w:ascii="Times New Roman" w:hAnsi="Times New Roman" w:eastAsia="仿宋" w:cs="Times New Roman"/>
          <w:b/>
          <w:bCs/>
          <w:color w:val="auto"/>
          <w:spacing w:val="5"/>
          <w:sz w:val="32"/>
          <w:szCs w:val="32"/>
          <w:highlight w:val="none"/>
          <w:lang w:val="en-US" w:eastAsia="zh-CN"/>
        </w:rPr>
        <w:t>水生态状况</w:t>
      </w:r>
      <w:r>
        <w:rPr>
          <w:rFonts w:hint="eastAsia" w:ascii="Times New Roman" w:hAnsi="Times New Roman" w:eastAsia="仿宋" w:cs="Times New Roman"/>
          <w:b/>
          <w:bCs/>
          <w:color w:val="auto"/>
          <w:spacing w:val="5"/>
          <w:sz w:val="32"/>
          <w:szCs w:val="32"/>
          <w:highlight w:val="none"/>
          <w:lang w:val="en-US" w:eastAsia="zh-CN"/>
        </w:rPr>
        <w:fldChar w:fldCharType="end"/>
      </w:r>
      <w:bookmarkEnd w:id="38"/>
    </w:p>
    <w:p>
      <w:pPr>
        <w:keepNext w:val="0"/>
        <w:keepLines w:val="0"/>
        <w:pageBreakBefore w:val="0"/>
        <w:widowControl w:val="0"/>
        <w:numPr>
          <w:ilvl w:val="2"/>
          <w:numId w:val="0"/>
        </w:numPr>
        <w:kinsoku/>
        <w:wordWrap/>
        <w:overflowPunct/>
        <w:topLinePunct w:val="0"/>
        <w:autoSpaceDE/>
        <w:autoSpaceDN/>
        <w:bidi w:val="0"/>
        <w:adjustRightInd/>
        <w:snapToGrid/>
        <w:spacing w:before="156" w:beforeLines="50" w:after="120" w:line="360" w:lineRule="auto"/>
        <w:ind w:left="0" w:firstLine="643" w:firstLineChars="200"/>
        <w:jc w:val="both"/>
        <w:textAlignment w:val="auto"/>
        <w:outlineLvl w:val="3"/>
        <w:rPr>
          <w:rFonts w:hint="eastAsia" w:ascii="仿宋" w:hAnsi="仿宋" w:eastAsia="仿宋" w:cs="仿宋"/>
          <w:b/>
          <w:bCs/>
          <w:color w:val="auto"/>
          <w:kern w:val="2"/>
          <w:sz w:val="32"/>
          <w:szCs w:val="32"/>
          <w:highlight w:val="none"/>
          <w:lang w:val="en-US" w:eastAsia="zh-CN" w:bidi="ar-SA"/>
        </w:rPr>
      </w:pPr>
      <w:bookmarkStart w:id="39" w:name="_Toc21849"/>
      <w:r>
        <w:rPr>
          <w:rFonts w:hint="eastAsia" w:ascii="仿宋" w:hAnsi="仿宋" w:eastAsia="仿宋" w:cs="仿宋"/>
          <w:b/>
          <w:bCs/>
          <w:color w:val="auto"/>
          <w:kern w:val="2"/>
          <w:sz w:val="32"/>
          <w:szCs w:val="32"/>
          <w:highlight w:val="none"/>
          <w:lang w:val="en-US" w:eastAsia="zh-CN" w:bidi="ar-SA"/>
        </w:rPr>
        <w:t>（1）水生生物完整性</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水生生物完整性方面，“十三五”期间，全市未系统开展水生生物完整性评价，未开展水生态健康评价。</w:t>
      </w:r>
    </w:p>
    <w:p>
      <w:pPr>
        <w:keepNext w:val="0"/>
        <w:keepLines w:val="0"/>
        <w:pageBreakBefore w:val="0"/>
        <w:widowControl w:val="0"/>
        <w:numPr>
          <w:ilvl w:val="2"/>
          <w:numId w:val="0"/>
        </w:numPr>
        <w:kinsoku/>
        <w:wordWrap/>
        <w:overflowPunct/>
        <w:topLinePunct w:val="0"/>
        <w:autoSpaceDE/>
        <w:autoSpaceDN/>
        <w:bidi w:val="0"/>
        <w:adjustRightInd/>
        <w:snapToGrid/>
        <w:spacing w:before="156" w:beforeLines="50" w:after="120" w:line="360" w:lineRule="auto"/>
        <w:ind w:left="0" w:firstLine="643" w:firstLineChars="200"/>
        <w:jc w:val="both"/>
        <w:textAlignment w:val="auto"/>
        <w:outlineLvl w:val="3"/>
        <w:rPr>
          <w:rFonts w:hint="eastAsia" w:ascii="仿宋" w:hAnsi="仿宋" w:eastAsia="仿宋" w:cs="仿宋"/>
          <w:b/>
          <w:bCs/>
          <w:color w:val="auto"/>
          <w:kern w:val="2"/>
          <w:sz w:val="32"/>
          <w:szCs w:val="32"/>
          <w:highlight w:val="none"/>
          <w:lang w:val="en-US" w:eastAsia="zh-CN" w:bidi="ar-SA"/>
        </w:rPr>
      </w:pPr>
      <w:r>
        <w:rPr>
          <w:rFonts w:hint="eastAsia" w:ascii="仿宋" w:hAnsi="仿宋" w:eastAsia="仿宋" w:cs="仿宋"/>
          <w:b/>
          <w:bCs/>
          <w:color w:val="auto"/>
          <w:kern w:val="2"/>
          <w:sz w:val="32"/>
          <w:szCs w:val="32"/>
          <w:highlight w:val="none"/>
          <w:lang w:val="en-US" w:eastAsia="zh-CN" w:bidi="ar-SA"/>
        </w:rPr>
        <w:t>（2）富营养化情况</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策勒县6个水库富营养化情况无变化，均为中营养。</w:t>
      </w:r>
    </w:p>
    <w:p>
      <w:pPr>
        <w:keepNext w:val="0"/>
        <w:keepLines w:val="0"/>
        <w:pageBreakBefore w:val="0"/>
        <w:widowControl w:val="0"/>
        <w:numPr>
          <w:ilvl w:val="2"/>
          <w:numId w:val="0"/>
        </w:numPr>
        <w:kinsoku/>
        <w:wordWrap/>
        <w:overflowPunct/>
        <w:topLinePunct w:val="0"/>
        <w:autoSpaceDE/>
        <w:autoSpaceDN/>
        <w:bidi w:val="0"/>
        <w:adjustRightInd/>
        <w:snapToGrid/>
        <w:spacing w:before="156" w:beforeLines="50" w:after="120" w:line="360" w:lineRule="auto"/>
        <w:ind w:left="0" w:firstLine="643" w:firstLineChars="200"/>
        <w:jc w:val="both"/>
        <w:textAlignment w:val="auto"/>
        <w:outlineLvl w:val="3"/>
        <w:rPr>
          <w:rFonts w:hint="eastAsia" w:ascii="仿宋" w:hAnsi="仿宋" w:eastAsia="仿宋" w:cs="仿宋"/>
          <w:b/>
          <w:bCs/>
          <w:color w:val="auto"/>
          <w:kern w:val="2"/>
          <w:sz w:val="32"/>
          <w:szCs w:val="32"/>
          <w:highlight w:val="none"/>
          <w:lang w:val="en-US" w:eastAsia="zh-CN" w:bidi="ar-SA"/>
        </w:rPr>
      </w:pPr>
      <w:r>
        <w:rPr>
          <w:rFonts w:hint="eastAsia" w:ascii="仿宋" w:hAnsi="仿宋" w:eastAsia="仿宋" w:cs="仿宋"/>
          <w:b/>
          <w:bCs/>
          <w:color w:val="auto"/>
          <w:kern w:val="2"/>
          <w:sz w:val="32"/>
          <w:szCs w:val="32"/>
          <w:highlight w:val="none"/>
          <w:lang w:val="en-US" w:eastAsia="zh-CN" w:bidi="ar-SA"/>
        </w:rPr>
        <w:t>（3）湿地保护</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策勒县共有自然保护地2处，分别为策勒达玛沟国家湿地公园、策勒县策勒乡国家沙化土地封禁保护区，总面积为121. 53km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，占策勒县国土面积比例的0.38%。湿地保护区仅有1处位于达玛沟</w:t>
      </w:r>
      <w:r>
        <w:rPr>
          <w:rFonts w:hint="default" w:ascii="仿宋_GB2312" w:hAnsi="仿宋_GB2312" w:eastAsia="仿宋_GB2312" w:cs="仿宋_GB2312"/>
          <w:color w:val="auto"/>
          <w:sz w:val="32"/>
          <w:szCs w:val="32"/>
          <w:highlight w:val="none"/>
          <w:lang w:val="en-US" w:eastAsia="zh-CN"/>
        </w:rPr>
        <w:t>乡</w:t>
      </w:r>
      <w:r>
        <w:rPr>
          <w:rFonts w:hint="eastAsia" w:ascii="仿宋_GB2312" w:hAnsi="仿宋_GB2312" w:eastAsia="仿宋_GB2312" w:cs="仿宋_GB2312"/>
          <w:color w:val="auto"/>
          <w:sz w:val="32"/>
          <w:szCs w:val="32"/>
          <w:highlight w:val="none"/>
          <w:lang w:val="en-US" w:eastAsia="zh-CN"/>
        </w:rPr>
        <w:t>，面积16.72km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w:t>
      </w:r>
    </w:p>
    <w:p>
      <w:pPr>
        <w:pStyle w:val="13"/>
        <w:ind w:firstLine="2096" w:firstLineChars="900"/>
        <w:rPr>
          <w:rFonts w:hint="eastAsia"/>
          <w:color w:val="auto"/>
          <w:highlight w:val="none"/>
          <w:lang w:val="en-US" w:eastAsia="zh-CN"/>
        </w:rPr>
      </w:pPr>
      <w:r>
        <w:rPr>
          <w:rFonts w:hint="eastAsia" w:ascii="Times New Roman" w:hAnsi="Times New Roman" w:eastAsia="仿宋_GB2312"/>
          <w:b/>
          <w:color w:val="auto"/>
          <w:spacing w:val="-4"/>
          <w:sz w:val="24"/>
          <w:szCs w:val="24"/>
          <w:highlight w:val="none"/>
          <w:lang w:val="en-US" w:eastAsia="zh-CN"/>
        </w:rPr>
        <w:t xml:space="preserve">表3.1-3     </w:t>
      </w:r>
      <w:r>
        <w:rPr>
          <w:rFonts w:hint="eastAsia" w:ascii="Times New Roman" w:hAnsi="Times New Roman" w:eastAsia="仿宋_GB2312" w:cstheme="minorBidi"/>
          <w:b/>
          <w:color w:val="auto"/>
          <w:spacing w:val="-4"/>
          <w:kern w:val="2"/>
          <w:sz w:val="24"/>
          <w:szCs w:val="24"/>
          <w:highlight w:val="none"/>
          <w:lang w:val="en-US" w:eastAsia="zh-CN" w:bidi="ar-SA"/>
        </w:rPr>
        <w:t>策勒县自然保护区情况</w:t>
      </w:r>
    </w:p>
    <w:tbl>
      <w:tblPr>
        <w:tblStyle w:val="26"/>
        <w:tblW w:w="80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51"/>
        <w:gridCol w:w="3500"/>
        <w:gridCol w:w="1113"/>
        <w:gridCol w:w="1542"/>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700" w:hRule="atLeast"/>
          <w:jc w:val="center"/>
        </w:trPr>
        <w:tc>
          <w:tcPr>
            <w:tcW w:w="75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序号</w:t>
            </w:r>
          </w:p>
        </w:tc>
        <w:tc>
          <w:tcPr>
            <w:tcW w:w="3500"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名称</w:t>
            </w:r>
          </w:p>
        </w:tc>
        <w:tc>
          <w:tcPr>
            <w:tcW w:w="1113"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保护级别</w:t>
            </w:r>
          </w:p>
        </w:tc>
        <w:tc>
          <w:tcPr>
            <w:tcW w:w="1542"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批复面积（km</w:t>
            </w:r>
            <w:r>
              <w:rPr>
                <w:rFonts w:hint="eastAsia" w:ascii="仿宋" w:hAnsi="仿宋" w:eastAsia="仿宋" w:cs="仿宋"/>
                <w:color w:val="auto"/>
                <w:kern w:val="0"/>
                <w:sz w:val="22"/>
                <w:szCs w:val="22"/>
                <w:highlight w:val="none"/>
                <w:vertAlign w:val="superscript"/>
                <w:lang w:val="en-US" w:eastAsia="zh-CN" w:bidi="ar"/>
              </w:rPr>
              <w:t>2</w:t>
            </w:r>
            <w:r>
              <w:rPr>
                <w:rFonts w:hint="eastAsia" w:ascii="仿宋" w:hAnsi="仿宋" w:eastAsia="仿宋" w:cs="仿宋"/>
                <w:color w:val="auto"/>
                <w:kern w:val="0"/>
                <w:sz w:val="22"/>
                <w:szCs w:val="22"/>
                <w:highlight w:val="none"/>
                <w:lang w:val="en-US" w:eastAsia="zh-CN" w:bidi="ar"/>
              </w:rPr>
              <w:t>）</w:t>
            </w:r>
          </w:p>
        </w:tc>
        <w:tc>
          <w:tcPr>
            <w:tcW w:w="115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所在地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75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1</w:t>
            </w:r>
          </w:p>
        </w:tc>
        <w:tc>
          <w:tcPr>
            <w:tcW w:w="3500"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新疆策勒达玛沟国家湿地公园</w:t>
            </w:r>
          </w:p>
        </w:tc>
        <w:tc>
          <w:tcPr>
            <w:tcW w:w="1113"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国家试点</w:t>
            </w:r>
          </w:p>
        </w:tc>
        <w:tc>
          <w:tcPr>
            <w:tcW w:w="1542"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16.72</w:t>
            </w:r>
          </w:p>
        </w:tc>
        <w:tc>
          <w:tcPr>
            <w:tcW w:w="115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达玛沟</w:t>
            </w:r>
            <w:r>
              <w:rPr>
                <w:rFonts w:hint="default" w:ascii="仿宋" w:hAnsi="仿宋" w:eastAsia="仿宋" w:cs="仿宋"/>
                <w:color w:val="auto"/>
                <w:kern w:val="0"/>
                <w:sz w:val="22"/>
                <w:szCs w:val="22"/>
                <w:highlight w:val="none"/>
                <w:lang w:val="en-US" w:eastAsia="zh-CN" w:bidi="ar"/>
              </w:rPr>
              <w:t>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jc w:val="center"/>
        </w:trPr>
        <w:tc>
          <w:tcPr>
            <w:tcW w:w="75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2</w:t>
            </w:r>
          </w:p>
        </w:tc>
        <w:tc>
          <w:tcPr>
            <w:tcW w:w="3500"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新疆策勒县策勒乡国家沙化土地封禁保护区</w:t>
            </w:r>
          </w:p>
        </w:tc>
        <w:tc>
          <w:tcPr>
            <w:tcW w:w="1113"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国家</w:t>
            </w:r>
          </w:p>
        </w:tc>
        <w:tc>
          <w:tcPr>
            <w:tcW w:w="1542"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105.81</w:t>
            </w:r>
          </w:p>
        </w:tc>
        <w:tc>
          <w:tcPr>
            <w:tcW w:w="1151"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策勒乡</w:t>
            </w:r>
          </w:p>
        </w:tc>
      </w:tr>
    </w:tbl>
    <w:p>
      <w:pPr>
        <w:keepNext w:val="0"/>
        <w:keepLines w:val="0"/>
        <w:pageBreakBefore w:val="0"/>
        <w:widowControl w:val="0"/>
        <w:numPr>
          <w:ilvl w:val="2"/>
          <w:numId w:val="0"/>
        </w:numPr>
        <w:kinsoku/>
        <w:wordWrap/>
        <w:overflowPunct/>
        <w:topLinePunct w:val="0"/>
        <w:autoSpaceDE/>
        <w:autoSpaceDN/>
        <w:bidi w:val="0"/>
        <w:adjustRightInd/>
        <w:snapToGrid/>
        <w:spacing w:before="156" w:beforeLines="50" w:after="120" w:line="360" w:lineRule="auto"/>
        <w:ind w:left="0" w:firstLine="643" w:firstLineChars="200"/>
        <w:jc w:val="both"/>
        <w:textAlignment w:val="auto"/>
        <w:outlineLvl w:val="3"/>
        <w:rPr>
          <w:rFonts w:hint="eastAsia" w:ascii="仿宋" w:hAnsi="仿宋" w:eastAsia="仿宋" w:cs="仿宋"/>
          <w:b/>
          <w:bCs/>
          <w:color w:val="auto"/>
          <w:kern w:val="2"/>
          <w:sz w:val="32"/>
          <w:szCs w:val="32"/>
          <w:highlight w:val="none"/>
          <w:lang w:val="en-US" w:eastAsia="zh-CN" w:bidi="ar-SA"/>
        </w:rPr>
      </w:pPr>
      <w:r>
        <w:rPr>
          <w:rFonts w:hint="eastAsia" w:ascii="仿宋" w:hAnsi="仿宋" w:eastAsia="仿宋" w:cs="仿宋"/>
          <w:b/>
          <w:bCs/>
          <w:color w:val="auto"/>
          <w:kern w:val="2"/>
          <w:sz w:val="32"/>
          <w:szCs w:val="32"/>
          <w:highlight w:val="none"/>
          <w:lang w:val="en-US" w:eastAsia="zh-CN" w:bidi="ar-SA"/>
        </w:rPr>
        <w:t>（4）生态缓冲带状况</w:t>
      </w:r>
    </w:p>
    <w:p>
      <w:pPr>
        <w:ind w:firstLine="480"/>
        <w:rPr>
          <w:rFonts w:ascii="Times New Roman"/>
          <w:color w:val="auto"/>
          <w:sz w:val="32"/>
          <w:szCs w:val="24"/>
          <w:highlight w:val="none"/>
        </w:rPr>
      </w:pPr>
      <w:r>
        <w:rPr>
          <w:rFonts w:hint="eastAsia" w:ascii="仿宋_GB2312" w:hAnsi="仿宋_GB2312" w:eastAsia="仿宋_GB2312" w:cs="仿宋_GB2312"/>
          <w:color w:val="auto"/>
          <w:sz w:val="32"/>
          <w:szCs w:val="32"/>
          <w:highlight w:val="none"/>
          <w:lang w:val="en-US" w:eastAsia="zh-CN"/>
        </w:rPr>
        <w:t>至2020年之前，</w:t>
      </w:r>
      <w:r>
        <w:rPr>
          <w:rFonts w:ascii="Times New Roman"/>
          <w:color w:val="auto"/>
          <w:sz w:val="32"/>
          <w:szCs w:val="24"/>
          <w:highlight w:val="none"/>
        </w:rPr>
        <w:t>策勒</w:t>
      </w:r>
      <w:r>
        <w:rPr>
          <w:rFonts w:hint="eastAsia" w:ascii="Times New Roman"/>
          <w:color w:val="auto"/>
          <w:sz w:val="32"/>
          <w:szCs w:val="24"/>
          <w:highlight w:val="none"/>
          <w:lang w:eastAsia="zh-CN"/>
        </w:rPr>
        <w:t>县各</w:t>
      </w:r>
      <w:r>
        <w:rPr>
          <w:rFonts w:ascii="Times New Roman"/>
          <w:color w:val="auto"/>
          <w:sz w:val="32"/>
          <w:szCs w:val="24"/>
          <w:highlight w:val="none"/>
        </w:rPr>
        <w:t>河</w:t>
      </w:r>
      <w:r>
        <w:rPr>
          <w:rFonts w:hint="eastAsia" w:ascii="Times New Roman"/>
          <w:color w:val="auto"/>
          <w:sz w:val="32"/>
          <w:szCs w:val="24"/>
          <w:highlight w:val="none"/>
          <w:lang w:eastAsia="zh-CN"/>
        </w:rPr>
        <w:t>河</w:t>
      </w:r>
      <w:r>
        <w:rPr>
          <w:rFonts w:ascii="Times New Roman"/>
          <w:color w:val="auto"/>
          <w:sz w:val="32"/>
          <w:szCs w:val="24"/>
          <w:highlight w:val="none"/>
        </w:rPr>
        <w:t>岸线保护与利用规划未编制，未明确河道临水边界线和外缘边界线及功能区，缺乏河道岸线规范化管理，岸线资源配置不合理，应对岸线的防洪、供水、生态环境以及开发利用功能缺乏统筹协调，且缺乏统一的岸线资源利用规划，造成岸线资源的配置不够合理。</w:t>
      </w:r>
    </w:p>
    <w:p>
      <w:pPr>
        <w:ind w:firstLine="480"/>
        <w:rPr>
          <w:rFonts w:ascii="Times New Roman"/>
          <w:color w:val="auto"/>
          <w:sz w:val="32"/>
          <w:szCs w:val="24"/>
          <w:highlight w:val="none"/>
        </w:rPr>
      </w:pPr>
      <w:r>
        <w:rPr>
          <w:rFonts w:ascii="Times New Roman"/>
          <w:color w:val="auto"/>
          <w:sz w:val="32"/>
          <w:szCs w:val="24"/>
          <w:highlight w:val="none"/>
        </w:rPr>
        <w:t>河道上游缺乏控制性工程，河道防洪工程设施简陋，临时性防洪工程多，标准低（大部河段堤防标准低于五年一遇以下），抗灾能力不强；洪水期间河流砂石量比较多，</w:t>
      </w:r>
      <w:r>
        <w:rPr>
          <w:rFonts w:hint="eastAsia" w:ascii="Times New Roman"/>
          <w:color w:val="auto"/>
          <w:sz w:val="32"/>
          <w:szCs w:val="24"/>
          <w:highlight w:val="none"/>
          <w:lang w:eastAsia="zh-CN"/>
        </w:rPr>
        <w:t>河道</w:t>
      </w:r>
      <w:r>
        <w:rPr>
          <w:rFonts w:ascii="Times New Roman"/>
          <w:color w:val="auto"/>
          <w:sz w:val="32"/>
          <w:szCs w:val="24"/>
          <w:highlight w:val="none"/>
        </w:rPr>
        <w:t>水生态问题主要是河</w:t>
      </w:r>
      <w:r>
        <w:rPr>
          <w:rFonts w:hint="eastAsia" w:ascii="Times New Roman"/>
          <w:color w:val="auto"/>
          <w:sz w:val="32"/>
          <w:szCs w:val="24"/>
          <w:highlight w:val="none"/>
          <w:lang w:val="en-US" w:eastAsia="zh-CN"/>
        </w:rPr>
        <w:t>道</w:t>
      </w:r>
      <w:r>
        <w:rPr>
          <w:rFonts w:ascii="Times New Roman"/>
          <w:color w:val="auto"/>
          <w:sz w:val="32"/>
          <w:szCs w:val="24"/>
          <w:highlight w:val="none"/>
        </w:rPr>
        <w:t>下游河道淤积严重</w:t>
      </w:r>
      <w:r>
        <w:rPr>
          <w:rFonts w:hint="eastAsia" w:ascii="Times New Roman"/>
          <w:color w:val="auto"/>
          <w:sz w:val="32"/>
          <w:szCs w:val="24"/>
          <w:highlight w:val="none"/>
          <w:lang w:eastAsia="zh-CN"/>
        </w:rPr>
        <w:t>；</w:t>
      </w:r>
      <w:r>
        <w:rPr>
          <w:rFonts w:ascii="Times New Roman"/>
          <w:color w:val="auto"/>
          <w:sz w:val="32"/>
          <w:szCs w:val="24"/>
          <w:highlight w:val="none"/>
        </w:rPr>
        <w:t>下游河道纵坡较缓，导致泥沙大量淤积在河床下游，下游河床抬高，严重影响了周边耕地及居民的生产生活安全。</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根据策勒县2021年-2022年间编制的</w:t>
      </w:r>
      <w:r>
        <w:rPr>
          <w:rFonts w:hint="eastAsia" w:ascii="Times New Roman"/>
          <w:color w:val="auto"/>
          <w:sz w:val="32"/>
          <w:szCs w:val="24"/>
          <w:highlight w:val="none"/>
          <w:lang w:eastAsia="zh-CN"/>
        </w:rPr>
        <w:t>各</w:t>
      </w:r>
      <w:r>
        <w:rPr>
          <w:rFonts w:ascii="Times New Roman"/>
          <w:color w:val="auto"/>
          <w:sz w:val="32"/>
          <w:szCs w:val="24"/>
          <w:highlight w:val="none"/>
        </w:rPr>
        <w:t>河</w:t>
      </w:r>
      <w:r>
        <w:rPr>
          <w:rFonts w:hint="eastAsia" w:ascii="Times New Roman"/>
          <w:color w:val="auto"/>
          <w:sz w:val="32"/>
          <w:szCs w:val="24"/>
          <w:highlight w:val="none"/>
          <w:lang w:eastAsia="zh-CN"/>
        </w:rPr>
        <w:t>河</w:t>
      </w:r>
      <w:r>
        <w:rPr>
          <w:rFonts w:ascii="Times New Roman"/>
          <w:color w:val="auto"/>
          <w:sz w:val="32"/>
          <w:szCs w:val="24"/>
          <w:highlight w:val="none"/>
        </w:rPr>
        <w:t>岸线保护与利用规划</w:t>
      </w:r>
      <w:r>
        <w:rPr>
          <w:rFonts w:hint="eastAsia" w:ascii="Times New Roman"/>
          <w:color w:val="auto"/>
          <w:sz w:val="32"/>
          <w:szCs w:val="24"/>
          <w:highlight w:val="none"/>
          <w:lang w:eastAsia="zh-CN"/>
        </w:rPr>
        <w:t>，</w:t>
      </w:r>
      <w:r>
        <w:rPr>
          <w:rFonts w:hint="eastAsia" w:ascii="仿宋_GB2312" w:hAnsi="仿宋_GB2312" w:eastAsia="仿宋_GB2312" w:cs="仿宋_GB2312"/>
          <w:color w:val="auto"/>
          <w:sz w:val="32"/>
          <w:szCs w:val="32"/>
          <w:highlight w:val="none"/>
          <w:lang w:val="en-US" w:eastAsia="zh-CN"/>
        </w:rPr>
        <w:t>各河流需保护的岸线长度见表。</w:t>
      </w:r>
    </w:p>
    <w:p>
      <w:pPr>
        <w:pStyle w:val="13"/>
        <w:ind w:firstLine="2096" w:firstLineChars="900"/>
        <w:rPr>
          <w:rFonts w:hint="default" w:ascii="Times New Roman" w:hAnsi="Times New Roman" w:eastAsia="仿宋_GB2312"/>
          <w:b/>
          <w:color w:val="auto"/>
          <w:spacing w:val="-4"/>
          <w:sz w:val="24"/>
          <w:szCs w:val="24"/>
          <w:highlight w:val="none"/>
          <w:lang w:val="en-US" w:eastAsia="zh-CN"/>
        </w:rPr>
      </w:pPr>
      <w:r>
        <w:rPr>
          <w:rFonts w:hint="eastAsia" w:ascii="Times New Roman" w:hAnsi="Times New Roman" w:eastAsia="仿宋_GB2312"/>
          <w:b/>
          <w:color w:val="auto"/>
          <w:spacing w:val="-4"/>
          <w:sz w:val="24"/>
          <w:szCs w:val="24"/>
          <w:highlight w:val="none"/>
          <w:lang w:val="en-US" w:eastAsia="zh-CN"/>
        </w:rPr>
        <w:t xml:space="preserve"> 表3.1-4    策勒县河流岸线保护情况表</w:t>
      </w:r>
    </w:p>
    <w:tbl>
      <w:tblPr>
        <w:tblStyle w:val="26"/>
        <w:tblW w:w="847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77"/>
        <w:gridCol w:w="2324"/>
        <w:gridCol w:w="200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24" w:hRule="atLeast"/>
        </w:trPr>
        <w:tc>
          <w:tcPr>
            <w:tcW w:w="187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序号</w:t>
            </w:r>
          </w:p>
        </w:tc>
        <w:tc>
          <w:tcPr>
            <w:tcW w:w="2324"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河流</w:t>
            </w:r>
          </w:p>
        </w:tc>
        <w:tc>
          <w:tcPr>
            <w:tcW w:w="200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个数</w:t>
            </w:r>
          </w:p>
        </w:tc>
        <w:tc>
          <w:tcPr>
            <w:tcW w:w="2269"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岸线保护长度（km）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187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1</w:t>
            </w:r>
          </w:p>
        </w:tc>
        <w:tc>
          <w:tcPr>
            <w:tcW w:w="2324"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阿克赛因河</w:t>
            </w:r>
          </w:p>
        </w:tc>
        <w:tc>
          <w:tcPr>
            <w:tcW w:w="200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2</w:t>
            </w:r>
          </w:p>
        </w:tc>
        <w:tc>
          <w:tcPr>
            <w:tcW w:w="2269"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81.77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187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2</w:t>
            </w:r>
          </w:p>
        </w:tc>
        <w:tc>
          <w:tcPr>
            <w:tcW w:w="2324"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布藏河</w:t>
            </w:r>
          </w:p>
        </w:tc>
        <w:tc>
          <w:tcPr>
            <w:tcW w:w="200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2</w:t>
            </w:r>
          </w:p>
        </w:tc>
        <w:tc>
          <w:tcPr>
            <w:tcW w:w="2269"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28.35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187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3</w:t>
            </w:r>
          </w:p>
        </w:tc>
        <w:tc>
          <w:tcPr>
            <w:tcW w:w="2324"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策勒河</w:t>
            </w:r>
          </w:p>
        </w:tc>
        <w:tc>
          <w:tcPr>
            <w:tcW w:w="200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2</w:t>
            </w:r>
          </w:p>
        </w:tc>
        <w:tc>
          <w:tcPr>
            <w:tcW w:w="2269"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120.44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187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4</w:t>
            </w:r>
          </w:p>
        </w:tc>
        <w:tc>
          <w:tcPr>
            <w:tcW w:w="2324"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努尔河</w:t>
            </w:r>
          </w:p>
        </w:tc>
        <w:tc>
          <w:tcPr>
            <w:tcW w:w="200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2</w:t>
            </w:r>
          </w:p>
        </w:tc>
        <w:tc>
          <w:tcPr>
            <w:tcW w:w="2269"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163.99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187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5</w:t>
            </w:r>
          </w:p>
        </w:tc>
        <w:tc>
          <w:tcPr>
            <w:tcW w:w="2324"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恰哈河</w:t>
            </w:r>
          </w:p>
        </w:tc>
        <w:tc>
          <w:tcPr>
            <w:tcW w:w="200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2</w:t>
            </w:r>
          </w:p>
        </w:tc>
        <w:tc>
          <w:tcPr>
            <w:tcW w:w="2269"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106.65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187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6</w:t>
            </w:r>
          </w:p>
        </w:tc>
        <w:tc>
          <w:tcPr>
            <w:tcW w:w="2324"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萨尔龙河</w:t>
            </w:r>
          </w:p>
        </w:tc>
        <w:tc>
          <w:tcPr>
            <w:tcW w:w="200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2</w:t>
            </w:r>
          </w:p>
        </w:tc>
        <w:tc>
          <w:tcPr>
            <w:tcW w:w="2269"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39.89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187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7</w:t>
            </w:r>
          </w:p>
        </w:tc>
        <w:tc>
          <w:tcPr>
            <w:tcW w:w="2324"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萨依巴格河</w:t>
            </w:r>
          </w:p>
        </w:tc>
        <w:tc>
          <w:tcPr>
            <w:tcW w:w="200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2</w:t>
            </w:r>
          </w:p>
        </w:tc>
        <w:tc>
          <w:tcPr>
            <w:tcW w:w="2269"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74.82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87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8</w:t>
            </w:r>
          </w:p>
        </w:tc>
        <w:tc>
          <w:tcPr>
            <w:tcW w:w="2324"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乌鲁克萨依河</w:t>
            </w:r>
          </w:p>
        </w:tc>
        <w:tc>
          <w:tcPr>
            <w:tcW w:w="200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2</w:t>
            </w:r>
          </w:p>
        </w:tc>
        <w:tc>
          <w:tcPr>
            <w:tcW w:w="2269"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23.49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87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合计</w:t>
            </w:r>
          </w:p>
        </w:tc>
        <w:tc>
          <w:tcPr>
            <w:tcW w:w="2324"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p>
        </w:tc>
        <w:tc>
          <w:tcPr>
            <w:tcW w:w="2007"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eastAsia" w:ascii="仿宋" w:hAnsi="仿宋" w:eastAsia="仿宋" w:cs="仿宋"/>
                <w:color w:val="auto"/>
                <w:kern w:val="0"/>
                <w:sz w:val="22"/>
                <w:szCs w:val="22"/>
                <w:highlight w:val="none"/>
                <w:lang w:val="en-US" w:eastAsia="zh-CN" w:bidi="ar"/>
              </w:rPr>
            </w:pPr>
          </w:p>
        </w:tc>
        <w:tc>
          <w:tcPr>
            <w:tcW w:w="2269" w:type="dxa"/>
            <w:tcBorders>
              <w:tl2br w:val="nil"/>
              <w:tr2bl w:val="nil"/>
            </w:tcBorders>
            <w:shd w:val="clear" w:color="auto" w:fill="auto"/>
            <w:noWrap/>
            <w:vAlign w:val="center"/>
          </w:tcPr>
          <w:p>
            <w:pPr>
              <w:keepNext w:val="0"/>
              <w:widowControl/>
              <w:spacing w:line="240" w:lineRule="auto"/>
              <w:ind w:left="-140" w:leftChars="-50" w:right="-140" w:rightChars="-50" w:firstLine="0" w:firstLineChars="0"/>
              <w:jc w:val="center"/>
              <w:rPr>
                <w:rFonts w:hint="default"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639.4</w:t>
            </w:r>
          </w:p>
        </w:tc>
      </w:tr>
    </w:tbl>
    <w:p>
      <w:pPr>
        <w:pStyle w:val="20"/>
        <w:rPr>
          <w:rFonts w:hint="eastAsia"/>
          <w:color w:val="auto"/>
          <w:highlight w:val="none"/>
          <w:lang w:val="en-US" w:eastAsia="zh-CN"/>
        </w:rPr>
      </w:pPr>
    </w:p>
    <w:bookmarkEnd w:id="39"/>
    <w:p>
      <w:pPr>
        <w:spacing w:before="266" w:line="360" w:lineRule="auto"/>
        <w:outlineLvl w:val="2"/>
        <w:rPr>
          <w:rFonts w:hint="eastAsia" w:ascii="Times New Roman" w:hAnsi="Times New Roman" w:eastAsia="仿宋" w:cs="Times New Roman"/>
          <w:b/>
          <w:bCs/>
          <w:color w:val="auto"/>
          <w:spacing w:val="5"/>
          <w:sz w:val="32"/>
          <w:szCs w:val="32"/>
          <w:highlight w:val="none"/>
          <w:lang w:val="en-US" w:eastAsia="zh-CN"/>
        </w:rPr>
      </w:pPr>
      <w:bookmarkStart w:id="40" w:name="_Toc4456"/>
      <w:r>
        <w:rPr>
          <w:rFonts w:hint="eastAsia" w:ascii="Times New Roman" w:hAnsi="Times New Roman" w:eastAsia="仿宋" w:cs="Times New Roman"/>
          <w:b/>
          <w:bCs/>
          <w:color w:val="auto"/>
          <w:spacing w:val="5"/>
          <w:sz w:val="32"/>
          <w:szCs w:val="32"/>
          <w:highlight w:val="none"/>
          <w:lang w:val="en-US" w:eastAsia="zh-CN"/>
        </w:rPr>
        <w:t>5.</w:t>
      </w:r>
      <w:r>
        <w:rPr>
          <w:rFonts w:hint="eastAsia" w:ascii="Times New Roman" w:hAnsi="Times New Roman" w:eastAsia="仿宋" w:cs="Times New Roman"/>
          <w:b/>
          <w:bCs/>
          <w:color w:val="auto"/>
          <w:spacing w:val="5"/>
          <w:sz w:val="32"/>
          <w:szCs w:val="32"/>
          <w:highlight w:val="none"/>
          <w:lang w:val="en-US" w:eastAsia="zh-CN"/>
        </w:rPr>
        <w:fldChar w:fldCharType="begin"/>
      </w:r>
      <w:r>
        <w:rPr>
          <w:rFonts w:hint="eastAsia" w:ascii="Times New Roman" w:hAnsi="Times New Roman" w:eastAsia="仿宋" w:cs="Times New Roman"/>
          <w:b/>
          <w:bCs/>
          <w:color w:val="auto"/>
          <w:spacing w:val="5"/>
          <w:sz w:val="32"/>
          <w:szCs w:val="32"/>
          <w:highlight w:val="none"/>
          <w:lang w:val="en-US" w:eastAsia="zh-CN"/>
        </w:rPr>
        <w:instrText xml:space="preserve"> HYPERLINK \l _Toc28664 </w:instrText>
      </w:r>
      <w:r>
        <w:rPr>
          <w:rFonts w:hint="eastAsia" w:ascii="Times New Roman" w:hAnsi="Times New Roman" w:eastAsia="仿宋" w:cs="Times New Roman"/>
          <w:b/>
          <w:bCs/>
          <w:color w:val="auto"/>
          <w:spacing w:val="5"/>
          <w:sz w:val="32"/>
          <w:szCs w:val="32"/>
          <w:highlight w:val="none"/>
          <w:lang w:val="en-US" w:eastAsia="zh-CN"/>
        </w:rPr>
        <w:fldChar w:fldCharType="separate"/>
      </w:r>
      <w:r>
        <w:rPr>
          <w:rFonts w:hint="eastAsia" w:ascii="Times New Roman" w:hAnsi="Times New Roman" w:eastAsia="仿宋" w:cs="Times New Roman"/>
          <w:b/>
          <w:bCs/>
          <w:color w:val="auto"/>
          <w:spacing w:val="5"/>
          <w:sz w:val="32"/>
          <w:szCs w:val="32"/>
          <w:highlight w:val="none"/>
          <w:lang w:val="en-US" w:eastAsia="zh-CN"/>
        </w:rPr>
        <w:t>水环境风险状况</w:t>
      </w:r>
      <w:r>
        <w:rPr>
          <w:rFonts w:hint="eastAsia" w:ascii="Times New Roman" w:hAnsi="Times New Roman" w:eastAsia="仿宋" w:cs="Times New Roman"/>
          <w:b/>
          <w:bCs/>
          <w:color w:val="auto"/>
          <w:spacing w:val="5"/>
          <w:sz w:val="32"/>
          <w:szCs w:val="32"/>
          <w:highlight w:val="none"/>
          <w:lang w:val="en-US" w:eastAsia="zh-CN"/>
        </w:rPr>
        <w:fldChar w:fldCharType="end"/>
      </w:r>
      <w:bookmarkEnd w:id="40"/>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“千吨万人”村级饮用水水源地存在突发性水环境风险，目前为止未发生水源地污染事件。</w:t>
      </w:r>
    </w:p>
    <w:p>
      <w:pPr>
        <w:keepNext w:val="0"/>
        <w:widowControl/>
        <w:numPr>
          <w:ilvl w:val="0"/>
          <w:numId w:val="2"/>
        </w:numPr>
        <w:kinsoku w:val="0"/>
        <w:autoSpaceDE w:val="0"/>
        <w:autoSpaceDN w:val="0"/>
        <w:spacing w:before="146" w:line="360" w:lineRule="auto"/>
        <w:ind w:left="692" w:firstLine="0" w:firstLineChars="0"/>
        <w:jc w:val="left"/>
        <w:textAlignment w:val="baseline"/>
        <w:outlineLvl w:val="1"/>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pPr>
      <w:bookmarkStart w:id="41" w:name="_Toc31292"/>
      <w:bookmarkStart w:id="42" w:name="_Toc9361"/>
      <w:bookmarkStart w:id="43" w:name="_Toc30751"/>
      <w:bookmarkStart w:id="44" w:name="_Toc12977"/>
      <w:r>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fldChar w:fldCharType="begin"/>
      </w:r>
      <w:r>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instrText xml:space="preserve"> HYPERLINK \l _Toc2380 </w:instrText>
      </w:r>
      <w:r>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fldChar w:fldCharType="separate"/>
      </w:r>
      <w:r>
        <w:rPr>
          <w:rFonts w:hint="eastAsia" w:ascii="楷体" w:hAnsi="楷体" w:eastAsia="楷体" w:cs="楷体"/>
          <w:snapToGrid w:val="0"/>
          <w:color w:val="auto"/>
          <w:spacing w:val="25"/>
          <w:kern w:val="0"/>
          <w:sz w:val="32"/>
          <w:szCs w:val="32"/>
          <w:highlight w:val="none"/>
          <w:lang w:val="zh-CN" w:eastAsia="zh-CN"/>
          <w14:textOutline w14:w="5793" w14:cap="sq" w14:cmpd="sng">
            <w14:solidFill>
              <w14:srgbClr w14:val="000000"/>
            </w14:solidFill>
            <w14:prstDash w14:val="solid"/>
            <w14:bevel/>
          </w14:textOutline>
        </w:rPr>
        <w:t>“十</w:t>
      </w:r>
      <w:r>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t>三五”水生态环境保护实施成效与经验</w:t>
      </w:r>
      <w:r>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fldChar w:fldCharType="end"/>
      </w:r>
      <w:bookmarkEnd w:id="41"/>
      <w:bookmarkEnd w:id="42"/>
      <w:bookmarkEnd w:id="43"/>
      <w:bookmarkEnd w:id="44"/>
    </w:p>
    <w:p>
      <w:pPr>
        <w:spacing w:line="360" w:lineRule="auto"/>
        <w:ind w:firstLine="643" w:firstLineChars="200"/>
        <w:jc w:val="both"/>
        <w:rPr>
          <w:rFonts w:hint="eastAsia" w:ascii="仿宋_GB2312" w:hAnsi="仿宋_GB2312" w:eastAsia="仿宋_GB2312" w:cs="仿宋_GB2312"/>
          <w:b/>
          <w:bCs/>
          <w:color w:val="auto"/>
          <w:sz w:val="32"/>
          <w:szCs w:val="32"/>
          <w:highlight w:val="none"/>
          <w:lang w:val="en-US" w:eastAsia="zh-CN"/>
        </w:rPr>
      </w:pPr>
      <w:bookmarkStart w:id="45" w:name="_Toc19802"/>
      <w:r>
        <w:rPr>
          <w:rFonts w:hint="eastAsia" w:ascii="仿宋_GB2312" w:hAnsi="仿宋_GB2312" w:eastAsia="仿宋_GB2312" w:cs="仿宋_GB2312"/>
          <w:b/>
          <w:bCs/>
          <w:color w:val="auto"/>
          <w:sz w:val="32"/>
          <w:szCs w:val="32"/>
          <w:highlight w:val="none"/>
          <w:lang w:val="en-US" w:eastAsia="zh-CN"/>
        </w:rPr>
        <w:t>一是地表水环境质量保持优良，集中式饮用水水源地水质均能达标。</w:t>
      </w:r>
      <w:bookmarkEnd w:id="45"/>
    </w:p>
    <w:p>
      <w:pPr>
        <w:spacing w:line="360" w:lineRule="auto"/>
        <w:ind w:firstLine="640" w:firstLineChars="200"/>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2020年策勒县水环境质量保持稳定，无黑臭水体、无入河排污口，无丧失使用功能的水体断面。全县2条主要地表河流水质状况达到或好于</w:t>
      </w:r>
      <w:r>
        <w:rPr>
          <w:rFonts w:hint="eastAsia" w:ascii="仿宋_GB2312" w:hAnsi="仿宋_GB2312" w:eastAsia="仿宋_GB2312" w:cs="仿宋_GB2312"/>
          <w:color w:val="auto"/>
          <w:sz w:val="32"/>
          <w:szCs w:val="32"/>
          <w:highlight w:val="none"/>
          <w:lang w:val="en-US" w:eastAsia="zh-CN"/>
        </w:rPr>
        <w:t>ш</w:t>
      </w:r>
      <w:r>
        <w:rPr>
          <w:rFonts w:hint="default" w:ascii="仿宋_GB2312" w:hAnsi="仿宋_GB2312" w:eastAsia="仿宋_GB2312" w:cs="仿宋_GB2312"/>
          <w:color w:val="auto"/>
          <w:sz w:val="32"/>
          <w:szCs w:val="32"/>
          <w:highlight w:val="none"/>
          <w:lang w:val="en-US" w:eastAsia="zh-CN"/>
        </w:rPr>
        <w:t>类，水质达标率100%；全县集中式饮用水源地水质总体保持稳定，水质达标率100%；努尔水库为非省控断面，水质状况达到或好于</w:t>
      </w:r>
      <w:r>
        <w:rPr>
          <w:rFonts w:hint="eastAsia" w:ascii="仿宋_GB2312" w:hAnsi="仿宋_GB2312" w:eastAsia="仿宋_GB2312" w:cs="仿宋_GB2312"/>
          <w:color w:val="auto"/>
          <w:sz w:val="32"/>
          <w:szCs w:val="32"/>
          <w:highlight w:val="none"/>
          <w:lang w:val="en-US" w:eastAsia="zh-CN"/>
        </w:rPr>
        <w:t>ш</w:t>
      </w:r>
      <w:r>
        <w:rPr>
          <w:rFonts w:hint="default" w:ascii="仿宋_GB2312" w:hAnsi="仿宋_GB2312" w:eastAsia="仿宋_GB2312" w:cs="仿宋_GB2312"/>
          <w:color w:val="auto"/>
          <w:sz w:val="32"/>
          <w:szCs w:val="32"/>
          <w:highlight w:val="none"/>
          <w:lang w:val="en-US" w:eastAsia="zh-CN"/>
        </w:rPr>
        <w:t>类，水质达标率100%。</w:t>
      </w:r>
    </w:p>
    <w:p>
      <w:pPr>
        <w:spacing w:line="360" w:lineRule="auto"/>
        <w:ind w:firstLine="643" w:firstLineChars="200"/>
        <w:jc w:val="both"/>
        <w:rPr>
          <w:rFonts w:hint="eastAsia" w:ascii="仿宋_GB2312" w:hAnsi="仿宋_GB2312" w:eastAsia="仿宋_GB2312" w:cs="仿宋_GB2312"/>
          <w:b/>
          <w:bCs/>
          <w:color w:val="auto"/>
          <w:sz w:val="32"/>
          <w:szCs w:val="32"/>
          <w:highlight w:val="none"/>
          <w:lang w:val="en-US" w:eastAsia="zh-CN"/>
        </w:rPr>
      </w:pPr>
      <w:bookmarkStart w:id="46" w:name="_Toc29663"/>
      <w:r>
        <w:rPr>
          <w:rFonts w:hint="eastAsia" w:ascii="仿宋_GB2312" w:hAnsi="仿宋_GB2312" w:eastAsia="仿宋_GB2312" w:cs="仿宋_GB2312"/>
          <w:b/>
          <w:bCs/>
          <w:color w:val="auto"/>
          <w:sz w:val="32"/>
          <w:szCs w:val="32"/>
          <w:highlight w:val="none"/>
          <w:lang w:val="en-US" w:eastAsia="zh-CN"/>
        </w:rPr>
        <w:t>二是坚持节水优先治水理念，落实最严格水资源管理制度。</w:t>
      </w:r>
      <w:bookmarkEnd w:id="46"/>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十三五”期间，策勒县水利建设投入布局在重点水源工程建设、农村饮水安全、农村水利工程、应急抗早水源工程、盐碱地治理、中小河流防洪治理、中型灌区节水改造建设等方面。“十三五”期间奴尔水库建成投入运行，优化了奴，尔河流城水资源配置格局;阿克塞音河博斯坦水库开工建设，县域水资源配置能力持续增强。建成城乡供水工程及农村饮水安全工程，覆盖六乡二镇，彻底改变了策勒县水质、水量及供水保证率不达标的状况。新建永久性防洪堤8.396km;新增高效节水灌溉面积6.3万亩，节灌率增长至30. 06%。完成中型灌区干支斗渠道防渗186. 256km，配套各类建筑物1630 座，应急抗旱水源连通工程46.849km。</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“十三五”期间策勒县落实最严格的水资源管理制度，出台了最严格水资源考核办法</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试行</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，将县用水总量和用水效率指标分解到六乡二镇;建立并落实各级河长制;结合县实际逐步推进农业水价综合改革;小型水利工程管理体制改革进一步深化:水利建设为策勒县经济建设提供了保障。</w:t>
      </w:r>
      <w:r>
        <w:rPr>
          <w:rFonts w:ascii="宋体" w:hAnsi="宋体" w:eastAsia="宋体" w:cs="宋体"/>
          <w:color w:val="auto"/>
          <w:sz w:val="32"/>
          <w:szCs w:val="32"/>
          <w:highlight w:val="none"/>
        </w:rPr>
        <w:br w:type="textWrapping"/>
      </w:r>
      <w:r>
        <w:rPr>
          <w:rFonts w:hint="eastAsia" w:ascii="宋体" w:hAnsi="宋体" w:eastAsia="宋体" w:cs="宋体"/>
          <w:b/>
          <w:bCs/>
          <w:color w:val="auto"/>
          <w:sz w:val="32"/>
          <w:szCs w:val="32"/>
          <w:highlight w:val="none"/>
          <w:lang w:val="en-US" w:eastAsia="zh-CN"/>
        </w:rPr>
        <w:t xml:space="preserve">    </w:t>
      </w:r>
      <w:r>
        <w:rPr>
          <w:rFonts w:hint="eastAsia" w:ascii="仿宋_GB2312" w:hAnsi="仿宋_GB2312" w:eastAsia="仿宋_GB2312" w:cs="仿宋_GB2312"/>
          <w:b/>
          <w:bCs/>
          <w:color w:val="auto"/>
          <w:sz w:val="32"/>
          <w:szCs w:val="32"/>
          <w:highlight w:val="none"/>
          <w:lang w:val="en-US" w:eastAsia="zh-CN"/>
        </w:rPr>
        <w:t>三是农村饮水安全得到保障</w:t>
      </w:r>
      <w:r>
        <w:rPr>
          <w:rFonts w:hint="eastAsia" w:ascii="仿宋_GB2312" w:hAnsi="仿宋_GB2312" w:eastAsia="仿宋_GB2312" w:cs="仿宋_GB2312"/>
          <w:color w:val="auto"/>
          <w:sz w:val="32"/>
          <w:szCs w:val="32"/>
          <w:highlight w:val="none"/>
          <w:lang w:val="en-US" w:eastAsia="zh-CN"/>
        </w:rPr>
        <w:br w:type="textWrapping"/>
      </w:r>
      <w:r>
        <w:rPr>
          <w:rFonts w:hint="eastAsia" w:ascii="仿宋_GB2312" w:hAnsi="仿宋_GB2312" w:eastAsia="仿宋_GB2312" w:cs="仿宋_GB2312"/>
          <w:color w:val="auto"/>
          <w:sz w:val="32"/>
          <w:szCs w:val="32"/>
          <w:highlight w:val="none"/>
          <w:lang w:val="en-US" w:eastAsia="zh-CN"/>
        </w:rPr>
        <w:t xml:space="preserve">    策勒县“十三五”期间全面实施农村饮水安全工程。完成城乡供水工程1项，覆盖策勒县、策勒乡、固拉哈玛乡及达玛沟乡，总投资2.47亿元。完成农村饮水工程15项，涉及山区怡哈乡、博斯坦乡、乌鲁克萨依乡、奴尔乡，总投资2.48亿元。截至2020年底，国家、自治区及地县在饮水安全工程投入资金累计4.95亿元。覆盖了七县一镇所有乡村，彻底改变了策勒县水质、水量及供水保证率不.达标的状况。策勒县农村饮水水厂工程14 处，设计供水规模51543. 92m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val="en-US" w:eastAsia="zh-CN"/>
        </w:rPr>
        <w:t>/d，自来水普及率100%，供水保证率95%，集中供水率达到90%，水质达标率达到100%。成立农村饮水安全工程管理机构,隶属策勒县水利局，负责县各乡镇水质监测管理工作。策勒县全县14座水厂水质监测中心均制定《实验室安全操作规程》、《精密仪器管理办法》、《实验员岗位职责》三项制度，要求水厂技术操作人员严格按规范操作，不定期对制度执行情况和水质化验记录进行检查。保证每月各水厂至少采集1次水样送检，检测结果及时向县卫生部门和分管县领导通报，确保水质符合国家饮用水安全标准。按季度对其中7座水厂水源水和出厂水进行水质检验，及时掌握水质状况，确保供水安全。</w:t>
      </w:r>
      <w:r>
        <w:rPr>
          <w:rFonts w:ascii="宋体" w:hAnsi="宋体" w:eastAsia="宋体" w:cs="宋体"/>
          <w:color w:val="auto"/>
          <w:sz w:val="32"/>
          <w:szCs w:val="32"/>
          <w:highlight w:val="none"/>
        </w:rPr>
        <w:br w:type="textWrapping"/>
      </w:r>
      <w:r>
        <w:rPr>
          <w:rFonts w:hint="eastAsia" w:ascii="宋体" w:hAnsi="宋体" w:eastAsia="宋体" w:cs="宋体"/>
          <w:color w:val="auto"/>
          <w:sz w:val="32"/>
          <w:szCs w:val="32"/>
          <w:highlight w:val="none"/>
          <w:lang w:val="en-US" w:eastAsia="zh-CN"/>
        </w:rPr>
        <w:t xml:space="preserve">    </w:t>
      </w:r>
      <w:r>
        <w:rPr>
          <w:rFonts w:hint="eastAsia" w:ascii="仿宋_GB2312" w:hAnsi="仿宋_GB2312" w:eastAsia="仿宋_GB2312" w:cs="仿宋_GB2312"/>
          <w:b/>
          <w:bCs/>
          <w:color w:val="auto"/>
          <w:sz w:val="32"/>
          <w:szCs w:val="32"/>
          <w:highlight w:val="none"/>
          <w:lang w:val="en-US" w:eastAsia="zh-CN"/>
        </w:rPr>
        <w:t>四是水生态文明建设进一步加快</w:t>
      </w:r>
      <w:r>
        <w:rPr>
          <w:rFonts w:hint="eastAsia" w:ascii="仿宋_GB2312" w:hAnsi="仿宋_GB2312" w:eastAsia="仿宋_GB2312" w:cs="仿宋_GB2312"/>
          <w:color w:val="auto"/>
          <w:sz w:val="32"/>
          <w:szCs w:val="32"/>
          <w:highlight w:val="none"/>
          <w:lang w:val="en-US" w:eastAsia="zh-CN"/>
        </w:rPr>
        <w:br w:type="textWrapping"/>
      </w:r>
      <w:r>
        <w:rPr>
          <w:rFonts w:hint="eastAsia" w:ascii="仿宋_GB2312" w:hAnsi="仿宋_GB2312" w:eastAsia="仿宋_GB2312" w:cs="仿宋_GB2312"/>
          <w:color w:val="auto"/>
          <w:sz w:val="32"/>
          <w:szCs w:val="32"/>
          <w:highlight w:val="none"/>
          <w:lang w:val="en-US" w:eastAsia="zh-CN"/>
        </w:rPr>
        <w:t xml:space="preserve">    策勒县全面建立河湖长制，构建县域各河流二级河长组织体系，明确各级河长责任人及所辖河湖保护治理工作，各级河长负责牵头推进河湖突出问题整治、水污染综合防治、河湖巡查保洁、河湖生态修复和河湖保护治理，协调解决实际问题，检查督导下级河长和相关部门履行职责。开展清理整治河道采砂、羊圈乱建及入河排污口清查等“清四乱”专项活动。</w:t>
      </w:r>
      <w:r>
        <w:rPr>
          <w:rFonts w:hint="eastAsia" w:ascii="仿宋_GB2312" w:hAnsi="仿宋_GB2312" w:eastAsia="仿宋_GB2312" w:cs="仿宋_GB2312"/>
          <w:color w:val="auto"/>
          <w:sz w:val="32"/>
          <w:szCs w:val="32"/>
          <w:highlight w:val="none"/>
          <w:lang w:val="en-US" w:eastAsia="zh-CN"/>
        </w:rPr>
        <w:br w:type="textWrapping"/>
      </w:r>
      <w:r>
        <w:rPr>
          <w:rFonts w:hint="eastAsia" w:ascii="仿宋_GB2312" w:hAnsi="仿宋_GB2312" w:eastAsia="仿宋_GB2312" w:cs="仿宋_GB2312"/>
          <w:color w:val="auto"/>
          <w:sz w:val="32"/>
          <w:szCs w:val="32"/>
          <w:highlight w:val="none"/>
          <w:lang w:val="en-US" w:eastAsia="zh-CN"/>
        </w:rPr>
        <w:t xml:space="preserve">    加强了河湖执法队伍建设，河湖长办公室牵头与相关部门组成联合执法组进行巡查，拆除搬迁河岸砂石料厂11处，河道岸线建设的羊圈及禽畜养殖场搬迁整治2处，河道保护范围内堆放羊粪行为2处，清理河湖违规违法行为8处，改善了河湖生态面貌。</w:t>
      </w:r>
      <w:r>
        <w:rPr>
          <w:rFonts w:hint="eastAsia" w:ascii="仿宋_GB2312" w:hAnsi="仿宋_GB2312" w:eastAsia="仿宋_GB2312" w:cs="仿宋_GB2312"/>
          <w:color w:val="auto"/>
          <w:sz w:val="32"/>
          <w:szCs w:val="32"/>
          <w:highlight w:val="none"/>
          <w:lang w:val="en-US" w:eastAsia="zh-CN"/>
        </w:rPr>
        <w:br w:type="textWrapping"/>
      </w:r>
      <w:r>
        <w:rPr>
          <w:rFonts w:hint="eastAsia" w:ascii="仿宋_GB2312" w:hAnsi="仿宋_GB2312" w:eastAsia="仿宋_GB2312" w:cs="仿宋_GB2312"/>
          <w:color w:val="auto"/>
          <w:sz w:val="32"/>
          <w:szCs w:val="32"/>
          <w:highlight w:val="none"/>
          <w:lang w:val="en-US" w:eastAsia="zh-CN"/>
        </w:rPr>
        <w:t xml:space="preserve">    “十三五”期间完成水土保持治理面积15.54km，其中阿克塞音河小流域水土保持综合治理工程4.54km,博斯坦乡水土保持综合治工程11km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，栏杆色日克小流城综合治理0.06km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w:t>
      </w:r>
    </w:p>
    <w:p>
      <w:pPr>
        <w:keepNext w:val="0"/>
        <w:widowControl/>
        <w:numPr>
          <w:ilvl w:val="0"/>
          <w:numId w:val="2"/>
        </w:numPr>
        <w:kinsoku w:val="0"/>
        <w:autoSpaceDE w:val="0"/>
        <w:autoSpaceDN w:val="0"/>
        <w:spacing w:before="146" w:line="360" w:lineRule="auto"/>
        <w:ind w:left="692" w:firstLine="0" w:firstLineChars="0"/>
        <w:jc w:val="left"/>
        <w:textAlignment w:val="baseline"/>
        <w:outlineLvl w:val="1"/>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pPr>
      <w:bookmarkStart w:id="47" w:name="_Toc13729"/>
      <w:bookmarkStart w:id="48" w:name="_Toc9259"/>
      <w:bookmarkStart w:id="49" w:name="_Toc31016"/>
      <w:bookmarkStart w:id="50" w:name="_Toc3865"/>
      <w:r>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t>目前存在的</w:t>
      </w:r>
      <w:r>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fldChar w:fldCharType="begin"/>
      </w:r>
      <w:r>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instrText xml:space="preserve"> HYPERLINK \l _Toc25703 </w:instrText>
      </w:r>
      <w:r>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fldChar w:fldCharType="separate"/>
      </w:r>
      <w:r>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t>主要问题</w:t>
      </w:r>
      <w:r>
        <w:rPr>
          <w:rFonts w:hint="eastAsia" w:ascii="楷体" w:hAnsi="楷体" w:eastAsia="楷体" w:cs="楷体"/>
          <w:snapToGrid w:val="0"/>
          <w:color w:val="auto"/>
          <w:spacing w:val="25"/>
          <w:kern w:val="0"/>
          <w:sz w:val="32"/>
          <w:szCs w:val="32"/>
          <w:highlight w:val="none"/>
          <w:lang w:eastAsia="zh-CN"/>
          <w14:textOutline w14:w="5793" w14:cap="sq" w14:cmpd="sng">
            <w14:solidFill>
              <w14:srgbClr w14:val="000000"/>
            </w14:solidFill>
            <w14:prstDash w14:val="solid"/>
            <w14:bevel/>
          </w14:textOutline>
        </w:rPr>
        <w:fldChar w:fldCharType="end"/>
      </w:r>
      <w:bookmarkEnd w:id="47"/>
      <w:bookmarkEnd w:id="48"/>
      <w:bookmarkEnd w:id="49"/>
      <w:bookmarkEnd w:id="50"/>
    </w:p>
    <w:p>
      <w:pPr>
        <w:spacing w:before="266" w:line="360" w:lineRule="auto"/>
        <w:outlineLvl w:val="2"/>
        <w:rPr>
          <w:rFonts w:hint="default" w:ascii="Times New Roman" w:hAnsi="Times New Roman" w:eastAsia="仿宋" w:cs="Times New Roman"/>
          <w:b/>
          <w:bCs/>
          <w:color w:val="auto"/>
          <w:spacing w:val="5"/>
          <w:sz w:val="32"/>
          <w:szCs w:val="32"/>
          <w:highlight w:val="none"/>
          <w:lang w:val="en-US" w:eastAsia="zh-CN"/>
        </w:rPr>
      </w:pPr>
      <w:bookmarkStart w:id="51" w:name="_Toc10618"/>
      <w:r>
        <w:rPr>
          <w:rFonts w:hint="eastAsia" w:ascii="Times New Roman" w:hAnsi="Times New Roman" w:eastAsia="仿宋" w:cs="Times New Roman"/>
          <w:b/>
          <w:bCs/>
          <w:color w:val="auto"/>
          <w:spacing w:val="5"/>
          <w:sz w:val="32"/>
          <w:szCs w:val="32"/>
          <w:highlight w:val="none"/>
          <w:lang w:val="en-US" w:eastAsia="zh-CN"/>
        </w:rPr>
        <w:t>1.主要问题</w:t>
      </w:r>
      <w:bookmarkEnd w:id="51"/>
    </w:p>
    <w:p>
      <w:pPr>
        <w:spacing w:before="266" w:line="360" w:lineRule="auto"/>
        <w:outlineLvl w:val="2"/>
        <w:rPr>
          <w:rFonts w:hint="eastAsia" w:ascii="Times New Roman" w:hAnsi="Times New Roman" w:eastAsia="仿宋" w:cs="Times New Roman"/>
          <w:b/>
          <w:bCs/>
          <w:color w:val="auto"/>
          <w:spacing w:val="5"/>
          <w:sz w:val="32"/>
          <w:szCs w:val="32"/>
          <w:highlight w:val="none"/>
          <w:lang w:val="en-US" w:eastAsia="zh-CN"/>
        </w:rPr>
      </w:pPr>
      <w:bookmarkStart w:id="52" w:name="_Toc7146"/>
      <w:r>
        <w:rPr>
          <w:rFonts w:hint="eastAsia" w:ascii="Times New Roman" w:hAnsi="Times New Roman" w:eastAsia="仿宋" w:cs="Times New Roman"/>
          <w:b/>
          <w:bCs/>
          <w:color w:val="auto"/>
          <w:spacing w:val="5"/>
          <w:sz w:val="32"/>
          <w:szCs w:val="32"/>
          <w:highlight w:val="none"/>
          <w:lang w:val="en-US" w:eastAsia="zh-CN"/>
        </w:rPr>
        <w:t>（1）水环境</w:t>
      </w:r>
      <w:bookmarkEnd w:id="52"/>
    </w:p>
    <w:p>
      <w:pPr>
        <w:spacing w:line="360" w:lineRule="auto"/>
        <w:rPr>
          <w:rFonts w:hint="eastAsia"/>
          <w:b/>
          <w:bCs/>
          <w:color w:val="auto"/>
          <w:sz w:val="32"/>
          <w:szCs w:val="32"/>
          <w:highlight w:val="none"/>
          <w:lang w:val="en-US" w:eastAsia="zh-CN"/>
        </w:rPr>
      </w:pPr>
      <w:r>
        <w:rPr>
          <w:rFonts w:hint="eastAsia"/>
          <w:b/>
          <w:bCs/>
          <w:color w:val="auto"/>
          <w:sz w:val="32"/>
          <w:szCs w:val="32"/>
          <w:highlight w:val="none"/>
          <w:lang w:val="en-US" w:eastAsia="zh-CN"/>
        </w:rPr>
        <w:t>一是河流水质总体较优，持续改善存在挑战</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虽然“十三五”期间策勒县内各主要河流水环境总体质量较好，现状河流各监测断面均达到Ⅱ类及其以上，但调查水质中化学需氧量逐年增高；农业面源污染、农村生活污染等治理程度和治理能力均不足，随着“十四五”经济总量持续扩大，生产生活污染的压力将进一步增加，污染物排放量也将持续加大。</w:t>
      </w:r>
    </w:p>
    <w:p>
      <w:pPr>
        <w:spacing w:line="360" w:lineRule="auto"/>
        <w:rPr>
          <w:rFonts w:hint="eastAsia"/>
          <w:b/>
          <w:bCs/>
          <w:color w:val="auto"/>
          <w:sz w:val="32"/>
          <w:szCs w:val="32"/>
          <w:highlight w:val="none"/>
          <w:lang w:val="en-US" w:eastAsia="zh-CN"/>
        </w:rPr>
      </w:pPr>
      <w:r>
        <w:rPr>
          <w:rFonts w:hint="eastAsia"/>
          <w:b/>
          <w:bCs/>
          <w:color w:val="auto"/>
          <w:sz w:val="32"/>
          <w:szCs w:val="32"/>
          <w:highlight w:val="none"/>
          <w:lang w:val="en-US" w:eastAsia="zh-CN"/>
        </w:rPr>
        <w:t>二是村级“万人千吨”饮用水水源地环境风险较高</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村级“万人千吨”饮用水水源地环境尚存在一定风险，饮用水水源保护区规范化建设还需完善、环境风险防控仍需持续推进，同时部分县还缺少备用水源地，应对水源环境风险存在不足。</w:t>
      </w:r>
    </w:p>
    <w:p>
      <w:pPr>
        <w:spacing w:line="360" w:lineRule="auto"/>
        <w:ind w:firstLine="643"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三农业农村污染逐步凸显</w:t>
      </w:r>
      <w:r>
        <w:rPr>
          <w:rFonts w:hint="eastAsia" w:ascii="仿宋_GB2312" w:hAnsi="仿宋_GB2312" w:eastAsia="仿宋_GB2312" w:cs="仿宋_GB2312"/>
          <w:color w:val="auto"/>
          <w:sz w:val="32"/>
          <w:szCs w:val="32"/>
          <w:highlight w:val="none"/>
          <w:lang w:val="en-US" w:eastAsia="zh-CN"/>
        </w:rPr>
        <w:t>。化肥使用量逐年下降，但蔬菜等特色农业化肥施用强度居高不下，仍高于农业绿色发展先行区(对标欧盟) 评价指标14.7公斤的要求。分散畜禽 养殖业的粪污和水产养殖业排水污染严重，由于农业种植面积和畜禽养殖数量在空间上不相匹配，加剧了农业面源污染。农村污水处理设施因地制宜建设，规模大小差异较大，运维水平参差不齐，导致实际运行效果迥异，整体达标率不高。</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3.河湖水资源保障有待提高</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策勒县各河流下泄流量执行不到位，导致部分河段枯水期存在断流现象；水资源配置不合理、生态用水占比低，2020年流域生态环境用水量占比仅为为1.9%，低于全国3.4%的平均水平；区域再生水循环利用体系不够完善，区域再生水利用比例处于较低水平；城市生产、生活用水精细化水平不足，节约用水的社会风气尚 未全面形成，2020年区域万元GDP用水量105m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val="en-US" w:eastAsia="zh-CN"/>
        </w:rPr>
        <w:t>/万元，与21.6m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val="en-US" w:eastAsia="zh-CN"/>
        </w:rPr>
        <w:t>/万元新疆地区水平尚有不小差距。</w:t>
      </w:r>
    </w:p>
    <w:p>
      <w:pPr>
        <w:spacing w:before="266" w:line="360" w:lineRule="auto"/>
        <w:outlineLvl w:val="2"/>
        <w:rPr>
          <w:rFonts w:hint="eastAsia" w:ascii="Times New Roman" w:hAnsi="Times New Roman" w:eastAsia="仿宋" w:cs="Times New Roman"/>
          <w:b/>
          <w:bCs/>
          <w:color w:val="auto"/>
          <w:spacing w:val="5"/>
          <w:sz w:val="32"/>
          <w:szCs w:val="32"/>
          <w:highlight w:val="none"/>
          <w:lang w:val="en-US" w:eastAsia="zh-CN"/>
        </w:rPr>
      </w:pPr>
      <w:bookmarkStart w:id="53" w:name="_Toc15024"/>
      <w:r>
        <w:rPr>
          <w:rFonts w:hint="eastAsia" w:ascii="Times New Roman" w:hAnsi="Times New Roman" w:eastAsia="仿宋" w:cs="Times New Roman"/>
          <w:b/>
          <w:bCs/>
          <w:color w:val="auto"/>
          <w:spacing w:val="5"/>
          <w:sz w:val="32"/>
          <w:szCs w:val="32"/>
          <w:highlight w:val="none"/>
          <w:lang w:val="en-US" w:eastAsia="zh-CN"/>
        </w:rPr>
        <w:t>（2）</w:t>
      </w:r>
      <w:r>
        <w:rPr>
          <w:rFonts w:hint="eastAsia" w:ascii="Times New Roman" w:hAnsi="Times New Roman" w:eastAsia="仿宋" w:cs="Times New Roman"/>
          <w:b/>
          <w:bCs/>
          <w:color w:val="auto"/>
          <w:spacing w:val="5"/>
          <w:sz w:val="32"/>
          <w:szCs w:val="32"/>
          <w:highlight w:val="none"/>
          <w:lang w:val="en-US" w:eastAsia="zh-CN"/>
        </w:rPr>
        <w:fldChar w:fldCharType="begin"/>
      </w:r>
      <w:r>
        <w:rPr>
          <w:rFonts w:hint="eastAsia" w:ascii="Times New Roman" w:hAnsi="Times New Roman" w:eastAsia="仿宋" w:cs="Times New Roman"/>
          <w:b/>
          <w:bCs/>
          <w:color w:val="auto"/>
          <w:spacing w:val="5"/>
          <w:sz w:val="32"/>
          <w:szCs w:val="32"/>
          <w:highlight w:val="none"/>
          <w:lang w:val="en-US" w:eastAsia="zh-CN"/>
        </w:rPr>
        <w:instrText xml:space="preserve"> HYPERLINK \l _Toc15895 </w:instrText>
      </w:r>
      <w:r>
        <w:rPr>
          <w:rFonts w:hint="eastAsia" w:ascii="Times New Roman" w:hAnsi="Times New Roman" w:eastAsia="仿宋" w:cs="Times New Roman"/>
          <w:b/>
          <w:bCs/>
          <w:color w:val="auto"/>
          <w:spacing w:val="5"/>
          <w:sz w:val="32"/>
          <w:szCs w:val="32"/>
          <w:highlight w:val="none"/>
          <w:lang w:val="en-US" w:eastAsia="zh-CN"/>
        </w:rPr>
        <w:fldChar w:fldCharType="separate"/>
      </w:r>
      <w:r>
        <w:rPr>
          <w:rFonts w:hint="eastAsia" w:ascii="Times New Roman" w:hAnsi="Times New Roman" w:eastAsia="仿宋" w:cs="Times New Roman"/>
          <w:b/>
          <w:bCs/>
          <w:color w:val="auto"/>
          <w:spacing w:val="5"/>
          <w:sz w:val="32"/>
          <w:szCs w:val="32"/>
          <w:highlight w:val="none"/>
          <w:lang w:val="en-US" w:eastAsia="zh-CN"/>
        </w:rPr>
        <w:t>水资源</w:t>
      </w:r>
      <w:r>
        <w:rPr>
          <w:rFonts w:hint="eastAsia" w:ascii="Times New Roman" w:hAnsi="Times New Roman" w:eastAsia="仿宋" w:cs="Times New Roman"/>
          <w:b/>
          <w:bCs/>
          <w:color w:val="auto"/>
          <w:spacing w:val="5"/>
          <w:sz w:val="32"/>
          <w:szCs w:val="32"/>
          <w:highlight w:val="none"/>
          <w:lang w:val="en-US" w:eastAsia="zh-CN"/>
        </w:rPr>
        <w:fldChar w:fldCharType="end"/>
      </w:r>
      <w:bookmarkEnd w:id="53"/>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一是策勒县水资源开发利用率较高。策勒县地表水资源开发利用率为51.3%，超过了国际公认的河流水资源利用程度40%的警示线，总水资源开发利用率达到62%，也远超过西北内陆干旱区生态环境需水量约占地区水资源总量50%的标准；地表水、地下水资源的大量开发利用，使得绿洲区下游河道径流量大量减少，萨依瓦克河、卡尔苏河、阿克赛音河等河流下游均已成为长期季节性断流河道。</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二是水资源分配不均。全县农业灌溉用水占国民经济各业用水总量的91.46%，而工业、城市及第三产业用水不到全县总用水总量的10%。随着经济社会的发展，水资源的供给不足，将成为制约当地经济社会发展的“瓶颈”。</w:t>
      </w:r>
    </w:p>
    <w:p>
      <w:pPr>
        <w:spacing w:before="266" w:line="360" w:lineRule="auto"/>
        <w:outlineLvl w:val="2"/>
        <w:rPr>
          <w:rFonts w:hint="eastAsia" w:ascii="Times New Roman" w:hAnsi="Times New Roman" w:eastAsia="仿宋" w:cs="Times New Roman"/>
          <w:b/>
          <w:bCs/>
          <w:color w:val="auto"/>
          <w:spacing w:val="5"/>
          <w:sz w:val="32"/>
          <w:szCs w:val="32"/>
          <w:highlight w:val="none"/>
          <w:lang w:val="en-US" w:eastAsia="zh-CN"/>
        </w:rPr>
      </w:pPr>
      <w:bookmarkStart w:id="54" w:name="_Toc17545"/>
      <w:r>
        <w:rPr>
          <w:rFonts w:hint="eastAsia" w:ascii="Times New Roman" w:hAnsi="Times New Roman" w:eastAsia="仿宋" w:cs="Times New Roman"/>
          <w:b/>
          <w:bCs/>
          <w:color w:val="auto"/>
          <w:spacing w:val="5"/>
          <w:sz w:val="32"/>
          <w:szCs w:val="32"/>
          <w:highlight w:val="none"/>
          <w:lang w:val="en-US" w:eastAsia="zh-CN"/>
        </w:rPr>
        <w:t>（3）水生态</w:t>
      </w:r>
      <w:bookmarkEnd w:id="54"/>
    </w:p>
    <w:p>
      <w:pPr>
        <w:spacing w:line="360" w:lineRule="auto"/>
        <w:ind w:firstLine="640" w:firstLineChars="200"/>
        <w:jc w:val="both"/>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一是生态基流不能满足要求。年径流量1-10亿立方的4条河流，均存在农业用水比重过大挤占生态用水，下泄生态流量不能满足要求的问题。</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二是部分河流岸线侵占，水土流失严重。8条河流部分岸线被农田、建设用地占用，需进行生态恢复；策勒河、努尔河等存在不同程度的水土流失，主要由于人为放牧及工业、生活侵占河岸等，导致河岸植被遭受一定程度的破坏，造成水土流失。</w:t>
      </w:r>
    </w:p>
    <w:p>
      <w:pPr>
        <w:pStyle w:val="2"/>
        <w:keepNext/>
        <w:keepLines/>
        <w:numPr>
          <w:ilvl w:val="2"/>
          <w:numId w:val="0"/>
        </w:numPr>
        <w:spacing w:before="168" w:beforeLines="70" w:beforeAutospacing="0" w:after="168" w:afterLines="70" w:afterAutospacing="0" w:line="360" w:lineRule="auto"/>
        <w:ind w:leftChars="0"/>
        <w:rPr>
          <w:rFonts w:hint="eastAsia" w:eastAsia="黑体"/>
          <w:b w:val="0"/>
          <w:color w:val="auto"/>
          <w:sz w:val="32"/>
          <w:szCs w:val="32"/>
          <w:highlight w:val="none"/>
        </w:rPr>
      </w:pPr>
      <w:bookmarkStart w:id="55" w:name="_Toc23345"/>
      <w:r>
        <w:rPr>
          <w:rFonts w:hint="eastAsia" w:ascii="Times New Roman" w:hAnsi="Times New Roman" w:eastAsia="仿宋" w:cs="Times New Roman"/>
          <w:b/>
          <w:bCs/>
          <w:color w:val="auto"/>
          <w:spacing w:val="5"/>
          <w:kern w:val="2"/>
          <w:sz w:val="32"/>
          <w:szCs w:val="32"/>
          <w:highlight w:val="none"/>
          <w:lang w:val="en-US" w:eastAsia="zh-CN" w:bidi="ar-SA"/>
        </w:rPr>
        <w:t>2.</w:t>
      </w:r>
      <w:r>
        <w:rPr>
          <w:rFonts w:hint="eastAsia" w:ascii="Times New Roman" w:hAnsi="Times New Roman" w:eastAsia="仿宋" w:cs="Times New Roman"/>
          <w:b/>
          <w:bCs/>
          <w:color w:val="auto"/>
          <w:spacing w:val="5"/>
          <w:kern w:val="2"/>
          <w:sz w:val="32"/>
          <w:szCs w:val="32"/>
          <w:highlight w:val="none"/>
          <w:lang w:val="en-US" w:eastAsia="zh-CN" w:bidi="ar-SA"/>
        </w:rPr>
        <w:fldChar w:fldCharType="begin"/>
      </w:r>
      <w:r>
        <w:rPr>
          <w:rFonts w:hint="eastAsia" w:ascii="Times New Roman" w:hAnsi="Times New Roman" w:eastAsia="仿宋" w:cs="Times New Roman"/>
          <w:b/>
          <w:bCs/>
          <w:color w:val="auto"/>
          <w:spacing w:val="5"/>
          <w:kern w:val="2"/>
          <w:sz w:val="32"/>
          <w:szCs w:val="32"/>
          <w:highlight w:val="none"/>
          <w:lang w:val="en-US" w:eastAsia="zh-CN" w:bidi="ar-SA"/>
        </w:rPr>
        <w:instrText xml:space="preserve"> HYPERLINK \l _Toc7112 </w:instrText>
      </w:r>
      <w:r>
        <w:rPr>
          <w:rFonts w:hint="eastAsia" w:ascii="Times New Roman" w:hAnsi="Times New Roman" w:eastAsia="仿宋" w:cs="Times New Roman"/>
          <w:b/>
          <w:bCs/>
          <w:color w:val="auto"/>
          <w:spacing w:val="5"/>
          <w:kern w:val="2"/>
          <w:sz w:val="32"/>
          <w:szCs w:val="32"/>
          <w:highlight w:val="none"/>
          <w:lang w:val="en-US" w:eastAsia="zh-CN" w:bidi="ar-SA"/>
        </w:rPr>
        <w:fldChar w:fldCharType="separate"/>
      </w:r>
      <w:r>
        <w:rPr>
          <w:rFonts w:hint="eastAsia" w:ascii="Times New Roman" w:hAnsi="Times New Roman" w:eastAsia="仿宋" w:cs="Times New Roman"/>
          <w:b/>
          <w:bCs/>
          <w:color w:val="auto"/>
          <w:spacing w:val="5"/>
          <w:kern w:val="2"/>
          <w:sz w:val="32"/>
          <w:szCs w:val="32"/>
          <w:highlight w:val="none"/>
          <w:lang w:val="en-US" w:eastAsia="zh-CN" w:bidi="ar-SA"/>
        </w:rPr>
        <w:t>机遇</w:t>
      </w:r>
      <w:r>
        <w:rPr>
          <w:rFonts w:hint="eastAsia" w:ascii="Times New Roman" w:hAnsi="Times New Roman" w:eastAsia="仿宋" w:cs="Times New Roman"/>
          <w:b/>
          <w:bCs/>
          <w:color w:val="auto"/>
          <w:spacing w:val="5"/>
          <w:kern w:val="2"/>
          <w:sz w:val="32"/>
          <w:szCs w:val="32"/>
          <w:highlight w:val="none"/>
          <w:lang w:val="en-US" w:eastAsia="zh-CN" w:bidi="ar-SA"/>
        </w:rPr>
        <w:fldChar w:fldCharType="end"/>
      </w:r>
      <w:r>
        <w:rPr>
          <w:rFonts w:hint="eastAsia" w:ascii="Times New Roman" w:hAnsi="Times New Roman" w:eastAsia="仿宋" w:cs="Times New Roman"/>
          <w:b/>
          <w:bCs/>
          <w:color w:val="auto"/>
          <w:spacing w:val="5"/>
          <w:kern w:val="2"/>
          <w:sz w:val="32"/>
          <w:szCs w:val="32"/>
          <w:highlight w:val="none"/>
          <w:lang w:val="en-US" w:eastAsia="zh-CN" w:bidi="ar-SA"/>
        </w:rPr>
        <w:t>和挑战</w:t>
      </w:r>
      <w:bookmarkEnd w:id="55"/>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（1）生态文明建设地位和作用凸显</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党的十八大以来，习近平同志把生态文明建设作为中国特色社会主义“五位一体”总体布局和“四个全面”战略布局的重要内容，作为重大民生实事紧紧抓在手上，生态文明建设的地位和作用更加突显。2020年9月27日，习近平总书记在第三次中央新疆工作座谈会上提出“要坚持绿水青山就是金山银山的理念，坚决守住生态保护红线，统筹开展治沙治水和森林草原保护工作，让大美新疆天更蓝、山更绿、水更清”。为“十四五”期间乃至更长时期内新疆坚定不移推进生态环境保护、建设美丽新疆提供了明确的方向和强有力的保障。</w:t>
      </w:r>
    </w:p>
    <w:p>
      <w:pPr>
        <w:spacing w:line="360" w:lineRule="auto"/>
        <w:ind w:firstLine="640" w:firstLineChars="200"/>
        <w:jc w:val="both"/>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（2）乡村振兴战略促进农村生态环境改善</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策勒县位于新疆维吾尔自治区最南部，昆仑山北麓,塔克拉玛千大沙漠南缘，其气候特点是极度干旱的大陆性暖温带沙漠气候，年降水量35- 400mm，年平均蒸发量2343mm，其地理位置决定其生态环境脆弱。策勒县社会经济发展的同时应加强生态环境的保护，保护生态环境就是保护生产力，改善生态环境就是发展生产力,绝不能以牺牲生态环境为代价换取经济-一时的发展。党中央及自治区对保护生态环境高度重视，人们要过上美好生活，不仅需要农产品、工业品和服务产品，还需要生态产品。要树立和践行绿水青山就是金山银山理念，加强生态环境保护建设的定力，统筹好经济发展和生态环境保护建设的关系。</w:t>
      </w:r>
      <w:r>
        <w:rPr>
          <w:rFonts w:hint="eastAsia" w:ascii="仿宋_GB2312" w:hAnsi="仿宋_GB2312" w:eastAsia="仿宋_GB2312" w:cs="仿宋_GB2312"/>
          <w:color w:val="auto"/>
          <w:sz w:val="32"/>
          <w:szCs w:val="32"/>
          <w:highlight w:val="none"/>
          <w:lang w:val="en-US" w:eastAsia="zh-CN"/>
        </w:rPr>
        <w:br w:type="textWrapping"/>
      </w:r>
      <w:r>
        <w:rPr>
          <w:rFonts w:hint="eastAsia" w:ascii="仿宋_GB2312" w:hAnsi="仿宋_GB2312" w:eastAsia="仿宋_GB2312" w:cs="仿宋_GB2312"/>
          <w:color w:val="auto"/>
          <w:sz w:val="32"/>
          <w:szCs w:val="32"/>
          <w:highlight w:val="none"/>
          <w:lang w:val="en-US" w:eastAsia="zh-CN"/>
        </w:rPr>
        <w:t xml:space="preserve">   策勒县工农业发展必须科学配置水资源，全面节约、有效保护和综合管理水资源，合理确定生态保护区的范围、目标和需水总量,系统部署水生态保护修复。策勒县亟需建立健全水生态文明制度体系，以水资源的可持续利用支撑经济社会的可持续发展和生态环境持续恢复，促进生态和人居环境和谐发展，加强生态脆弱流域和区域的综合治理与生态修复，实现经济社会发展与生态环境保护相协调。</w:t>
      </w:r>
    </w:p>
    <w:p>
      <w:pPr>
        <w:pStyle w:val="20"/>
        <w:keepNext/>
        <w:keepLines w:val="0"/>
        <w:pageBreakBefore w:val="0"/>
        <w:widowControl w:val="0"/>
        <w:kinsoku/>
        <w:wordWrap/>
        <w:overflowPunct/>
        <w:topLinePunct w:val="0"/>
        <w:autoSpaceDE/>
        <w:autoSpaceDN/>
        <w:bidi w:val="0"/>
        <w:adjustRightInd w:val="0"/>
        <w:snapToGrid w:val="0"/>
        <w:spacing w:line="360" w:lineRule="auto"/>
        <w:ind w:left="0"/>
        <w:textAlignment w:val="auto"/>
        <w:outlineLvl w:val="0"/>
        <w:rPr>
          <w:rFonts w:hint="eastAsia" w:ascii="黑体" w:hAnsi="黑体" w:eastAsia="黑体" w:cs="黑体"/>
          <w:b/>
          <w:bCs/>
          <w:color w:val="auto"/>
          <w:sz w:val="32"/>
          <w:szCs w:val="32"/>
          <w:highlight w:val="none"/>
        </w:rPr>
      </w:pPr>
      <w:bookmarkStart w:id="56" w:name="_Toc1681"/>
      <w:bookmarkStart w:id="57" w:name="_Toc29111"/>
      <w:bookmarkStart w:id="58" w:name="_Toc32380"/>
      <w:bookmarkStart w:id="59" w:name="_Toc16560"/>
      <w:r>
        <w:rPr>
          <w:rFonts w:hint="eastAsia" w:ascii="黑体" w:hAnsi="黑体" w:eastAsia="黑体" w:cs="黑体"/>
          <w:b/>
          <w:bCs/>
          <w:color w:val="auto"/>
          <w:sz w:val="32"/>
          <w:szCs w:val="32"/>
          <w:highlight w:val="none"/>
        </w:rPr>
        <w:t>二、总体要求</w:t>
      </w:r>
      <w:bookmarkEnd w:id="56"/>
      <w:bookmarkEnd w:id="57"/>
      <w:bookmarkEnd w:id="58"/>
      <w:bookmarkEnd w:id="59"/>
    </w:p>
    <w:p>
      <w:pPr>
        <w:spacing w:before="244" w:line="360" w:lineRule="auto"/>
        <w:outlineLvl w:val="1"/>
        <w:rPr>
          <w:rFonts w:ascii="楷体" w:hAnsi="楷体" w:eastAsia="楷体" w:cs="楷体"/>
          <w:color w:val="auto"/>
          <w:sz w:val="32"/>
          <w:szCs w:val="32"/>
          <w:highlight w:val="none"/>
        </w:rPr>
      </w:pPr>
      <w:bookmarkStart w:id="60" w:name="_Toc273"/>
      <w:bookmarkStart w:id="61" w:name="_Toc28065"/>
      <w:bookmarkStart w:id="62" w:name="_Toc21142"/>
      <w:bookmarkStart w:id="63" w:name="_Toc9777"/>
      <w:r>
        <w:rPr>
          <w:rFonts w:ascii="楷体" w:hAnsi="楷体" w:eastAsia="楷体" w:cs="楷体"/>
          <w:color w:val="auto"/>
          <w:spacing w:val="25"/>
          <w:sz w:val="32"/>
          <w:szCs w:val="32"/>
          <w:highlight w:val="none"/>
          <w14:textOutline w14:w="5793" w14:cap="sq" w14:cmpd="sng">
            <w14:solidFill>
              <w14:srgbClr w14:val="000000"/>
            </w14:solidFill>
            <w14:prstDash w14:val="solid"/>
            <w14:bevel/>
          </w14:textOutline>
        </w:rPr>
        <w:t>(</w:t>
      </w:r>
      <w:r>
        <w:rPr>
          <w:rFonts w:ascii="楷体" w:hAnsi="楷体" w:eastAsia="楷体" w:cs="楷体"/>
          <w:color w:val="auto"/>
          <w:spacing w:val="24"/>
          <w:sz w:val="32"/>
          <w:szCs w:val="32"/>
          <w:highlight w:val="none"/>
          <w14:textOutline w14:w="5793" w14:cap="sq" w14:cmpd="sng">
            <w14:solidFill>
              <w14:srgbClr w14:val="000000"/>
            </w14:solidFill>
            <w14:prstDash w14:val="solid"/>
            <w14:bevel/>
          </w14:textOutline>
        </w:rPr>
        <w:t>一)指导思想</w:t>
      </w:r>
      <w:bookmarkEnd w:id="60"/>
      <w:bookmarkEnd w:id="61"/>
      <w:bookmarkEnd w:id="62"/>
      <w:bookmarkEnd w:id="63"/>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以习近平生态文明思想为指导，以习近平生态文明思想为指导，全面贯彻落实党中央、国务院和省委、省政府对长江经济带生态环境保护的决策部署，深刻把握“山水林田湖草是生命共同体”的科学内涵，坚持问题导向、目标导向，以水生态环境质量改善为核心，污染减排和生态扩容两手发力，统筹推进水资源利用、水生态保护和水环境治理，创新机制体制，精准施策，着力解决群众身边突出的水生态环境问题，持续改善水生态环境。</w:t>
      </w:r>
    </w:p>
    <w:p>
      <w:pPr>
        <w:spacing w:before="67" w:line="360" w:lineRule="auto"/>
        <w:outlineLvl w:val="1"/>
        <w:rPr>
          <w:rFonts w:ascii="楷体" w:hAnsi="楷体" w:eastAsia="楷体" w:cs="楷体"/>
          <w:color w:val="auto"/>
          <w:sz w:val="32"/>
          <w:szCs w:val="32"/>
          <w:highlight w:val="none"/>
        </w:rPr>
      </w:pPr>
      <w:bookmarkStart w:id="64" w:name="_Toc29152"/>
      <w:bookmarkStart w:id="65" w:name="_Toc11787"/>
      <w:bookmarkStart w:id="66" w:name="_Toc28554"/>
      <w:bookmarkStart w:id="67" w:name="_Toc26692"/>
      <w:r>
        <w:rPr>
          <w:rFonts w:ascii="楷体" w:hAnsi="楷体" w:eastAsia="楷体" w:cs="楷体"/>
          <w:color w:val="auto"/>
          <w:spacing w:val="25"/>
          <w:sz w:val="32"/>
          <w:szCs w:val="32"/>
          <w:highlight w:val="none"/>
          <w14:textOutline w14:w="5793" w14:cap="sq" w14:cmpd="sng">
            <w14:solidFill>
              <w14:srgbClr w14:val="000000"/>
            </w14:solidFill>
            <w14:prstDash w14:val="solid"/>
            <w14:bevel/>
          </w14:textOutline>
        </w:rPr>
        <w:t>(</w:t>
      </w:r>
      <w:r>
        <w:rPr>
          <w:rFonts w:ascii="楷体" w:hAnsi="楷体" w:eastAsia="楷体" w:cs="楷体"/>
          <w:color w:val="auto"/>
          <w:spacing w:val="24"/>
          <w:sz w:val="32"/>
          <w:szCs w:val="32"/>
          <w:highlight w:val="none"/>
          <w14:textOutline w14:w="5793" w14:cap="sq" w14:cmpd="sng">
            <w14:solidFill>
              <w14:srgbClr w14:val="000000"/>
            </w14:solidFill>
            <w14:prstDash w14:val="solid"/>
            <w14:bevel/>
          </w14:textOutline>
        </w:rPr>
        <w:t>二)基本原则</w:t>
      </w:r>
      <w:bookmarkEnd w:id="64"/>
      <w:bookmarkEnd w:id="65"/>
      <w:bookmarkEnd w:id="66"/>
      <w:bookmarkEnd w:id="67"/>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“三水”统筹，系统治理。坚持“山水林田湖草”是一个生命共同体的科学理念，统筹水资源、水生态、水环境，系统推进工业、农业、生活污染治理，河湖生态流量保障，生态系统保护修复和风险防控等任务。</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突出重点、统筹兼顾。以水环境污染、水生态破坏、生态流量匮乏等突出生态环境问题为重点，严格落实水资源“三条红线”，系统推进节水、减水工作，调整产业结构，推动绿色发展，保障生态用水，恢复湿地生态环境。</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实事求是，因地制宜。客观分析当地水生态环境质量和水资源状况、生态环境保护工作基础和经济社会发展现状， 结合各流域资源禀赋的不同特点，针对问题和系统设计针对 性任务措施。</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有序衔接、预防为主。与和田地区“三线一单”相衔接，严格落实空间管控要求，坚持污染防治和生态保护共同发力，推进工业、农业、生活多源齐控，加强风险防范，提升环境监管能力，不断满足各族人民日益增长的优美生态环境需要。</w:t>
      </w:r>
    </w:p>
    <w:p>
      <w:pPr>
        <w:spacing w:before="66" w:line="360" w:lineRule="auto"/>
        <w:outlineLvl w:val="1"/>
        <w:rPr>
          <w:rFonts w:ascii="楷体" w:hAnsi="楷体" w:eastAsia="楷体" w:cs="楷体"/>
          <w:color w:val="auto"/>
          <w:sz w:val="32"/>
          <w:szCs w:val="32"/>
          <w:highlight w:val="none"/>
        </w:rPr>
      </w:pPr>
      <w:bookmarkStart w:id="68" w:name="_Toc4947"/>
      <w:bookmarkStart w:id="69" w:name="_Toc21537"/>
      <w:bookmarkStart w:id="70" w:name="_Toc30330"/>
      <w:bookmarkStart w:id="71" w:name="_Toc17114"/>
      <w:r>
        <w:rPr>
          <w:rFonts w:ascii="楷体" w:hAnsi="楷体" w:eastAsia="楷体" w:cs="楷体"/>
          <w:color w:val="auto"/>
          <w:spacing w:val="24"/>
          <w:sz w:val="32"/>
          <w:szCs w:val="32"/>
          <w:highlight w:val="none"/>
          <w14:textOutline w14:w="5793" w14:cap="sq" w14:cmpd="sng">
            <w14:solidFill>
              <w14:srgbClr w14:val="000000"/>
            </w14:solidFill>
            <w14:prstDash w14:val="solid"/>
            <w14:bevel/>
          </w14:textOutline>
        </w:rPr>
        <w:t>(三)编制依</w:t>
      </w:r>
      <w:r>
        <w:rPr>
          <w:rFonts w:ascii="楷体" w:hAnsi="楷体" w:eastAsia="楷体" w:cs="楷体"/>
          <w:color w:val="auto"/>
          <w:spacing w:val="22"/>
          <w:sz w:val="32"/>
          <w:szCs w:val="32"/>
          <w:highlight w:val="none"/>
          <w14:textOutline w14:w="5793" w14:cap="sq" w14:cmpd="sng">
            <w14:solidFill>
              <w14:srgbClr w14:val="000000"/>
            </w14:solidFill>
            <w14:prstDash w14:val="solid"/>
            <w14:bevel/>
          </w14:textOutline>
        </w:rPr>
        <w:t>据</w:t>
      </w:r>
      <w:bookmarkEnd w:id="68"/>
      <w:bookmarkEnd w:id="69"/>
      <w:bookmarkEnd w:id="70"/>
      <w:bookmarkEnd w:id="71"/>
    </w:p>
    <w:p>
      <w:pPr>
        <w:pStyle w:val="20"/>
        <w:spacing w:line="360" w:lineRule="auto"/>
        <w:rPr>
          <w:rFonts w:hint="eastAsia"/>
          <w:color w:val="auto"/>
          <w:sz w:val="32"/>
          <w:szCs w:val="32"/>
          <w:highlight w:val="none"/>
          <w:lang w:eastAsia="zh-CN"/>
        </w:rPr>
      </w:pP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（1）《中华人民共和国水污染防治法》</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（2）《水污染防治行动计划》；</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（3）《重点流域水生态环境保护“十四五”规划编制技术大纲》（环办水体函〔2019〕937号）、</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（4）《重点流域水生态环境保护“十四五”规划编制试点工作参考手册（第一版）》；</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（5）《中共中央国务院关于深入打好污染防治攻坚战的意见》；</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（6）《新疆维吾尔自治区水污染防治工作方案》；</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（7）《中华人民共和国水土保持法》；</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（8）《新疆维吾尔自治区实施〈中华人民共和国水土保持法〉办法》；</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（9）《关于印发新疆自治区级水土流失重点预防区和重点治理区复核划分成果的通知》（新水水保[2019]4号）；</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（10）《自治区党委办公厅、自治区人民政府办公厅关于印发&lt;自治区各级党委、政府及其有关部门生态环境保护工作职责&gt;的通知》（新党厅字[2017]31号）。</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（11）《水利部办公厅关于印发《全国水土保持规划国家级水土流失重点预防区和重点治理区复核划分成果》的通知》（水利部办公厅办水保[2013]188号）；</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（12）《策勒县国民经济和社会发展第十四个五年规划和二〇三五年远景目标纲要》；</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（13）《策勒县生态环境保护“十四五”规划》（报批稿）。</w:t>
      </w:r>
    </w:p>
    <w:p>
      <w:pPr>
        <w:spacing w:before="184" w:line="360" w:lineRule="auto"/>
        <w:ind w:left="0" w:leftChars="0" w:firstLine="740" w:firstLineChars="200"/>
        <w:outlineLvl w:val="1"/>
        <w:rPr>
          <w:rFonts w:ascii="楷体" w:hAnsi="楷体" w:eastAsia="楷体" w:cs="楷体"/>
          <w:color w:val="auto"/>
          <w:sz w:val="32"/>
          <w:szCs w:val="32"/>
          <w:highlight w:val="none"/>
        </w:rPr>
      </w:pPr>
      <w:bookmarkStart w:id="72" w:name="_Toc32506"/>
      <w:bookmarkStart w:id="73" w:name="_Toc13752"/>
      <w:bookmarkStart w:id="74" w:name="_Toc14657"/>
      <w:bookmarkStart w:id="75" w:name="_Toc31223"/>
      <w:r>
        <w:rPr>
          <w:rFonts w:ascii="楷体" w:hAnsi="楷体" w:eastAsia="楷体" w:cs="楷体"/>
          <w:color w:val="auto"/>
          <w:spacing w:val="25"/>
          <w:sz w:val="32"/>
          <w:szCs w:val="32"/>
          <w:highlight w:val="none"/>
          <w14:textOutline w14:w="5793" w14:cap="sq" w14:cmpd="sng">
            <w14:solidFill>
              <w14:srgbClr w14:val="000000"/>
            </w14:solidFill>
            <w14:prstDash w14:val="solid"/>
            <w14:bevel/>
          </w14:textOutline>
        </w:rPr>
        <w:t>(</w:t>
      </w:r>
      <w:r>
        <w:rPr>
          <w:rFonts w:ascii="楷体" w:hAnsi="楷体" w:eastAsia="楷体" w:cs="楷体"/>
          <w:color w:val="auto"/>
          <w:spacing w:val="20"/>
          <w:sz w:val="32"/>
          <w:szCs w:val="32"/>
          <w:highlight w:val="none"/>
          <w14:textOutline w14:w="5793" w14:cap="sq" w14:cmpd="sng">
            <w14:solidFill>
              <w14:srgbClr w14:val="000000"/>
            </w14:solidFill>
            <w14:prstDash w14:val="solid"/>
            <w14:bevel/>
          </w14:textOutline>
        </w:rPr>
        <w:t>四)规划范围与时限</w:t>
      </w:r>
      <w:bookmarkEnd w:id="72"/>
      <w:bookmarkEnd w:id="73"/>
      <w:bookmarkEnd w:id="74"/>
      <w:bookmarkEnd w:id="75"/>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规划范围：策勒县全域，即2镇6乡:策勒镇、固拉哈玛镇、策勒乡、达玛沟乡、恰哈乡、乌鲁克萨依乡、奴尔乡、博斯坦乡，总面积3.16平方公里。</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规划时限：2021～2025年，基准年为2020年(部分统计数据采用2018年)。</w:t>
      </w:r>
    </w:p>
    <w:p>
      <w:pPr>
        <w:spacing w:before="67" w:line="360" w:lineRule="auto"/>
        <w:outlineLvl w:val="1"/>
        <w:rPr>
          <w:rFonts w:ascii="楷体" w:hAnsi="楷体" w:eastAsia="楷体" w:cs="楷体"/>
          <w:color w:val="auto"/>
          <w:spacing w:val="24"/>
          <w:sz w:val="32"/>
          <w:szCs w:val="32"/>
          <w:highlight w:val="none"/>
          <w14:textOutline w14:w="5793" w14:cap="sq" w14:cmpd="sng">
            <w14:solidFill>
              <w14:srgbClr w14:val="000000"/>
            </w14:solidFill>
            <w14:prstDash w14:val="solid"/>
            <w14:bevel/>
          </w14:textOutline>
        </w:rPr>
      </w:pPr>
      <w:bookmarkStart w:id="76" w:name="_Toc19695"/>
      <w:bookmarkStart w:id="77" w:name="_Toc10348"/>
      <w:bookmarkStart w:id="78" w:name="_Toc8755"/>
      <w:bookmarkStart w:id="79" w:name="_Toc17614"/>
      <w:r>
        <w:rPr>
          <w:rFonts w:ascii="楷体" w:hAnsi="楷体" w:eastAsia="楷体" w:cs="楷体"/>
          <w:color w:val="auto"/>
          <w:spacing w:val="25"/>
          <w:sz w:val="32"/>
          <w:szCs w:val="32"/>
          <w:highlight w:val="none"/>
          <w14:textOutline w14:w="5793" w14:cap="sq" w14:cmpd="sng">
            <w14:solidFill>
              <w14:srgbClr w14:val="000000"/>
            </w14:solidFill>
            <w14:prstDash w14:val="solid"/>
            <w14:bevel/>
          </w14:textOutline>
        </w:rPr>
        <w:t>(</w:t>
      </w:r>
      <w:r>
        <w:rPr>
          <w:rFonts w:ascii="楷体" w:hAnsi="楷体" w:eastAsia="楷体" w:cs="楷体"/>
          <w:color w:val="auto"/>
          <w:spacing w:val="24"/>
          <w:sz w:val="32"/>
          <w:szCs w:val="32"/>
          <w:highlight w:val="none"/>
          <w14:textOutline w14:w="5793" w14:cap="sq" w14:cmpd="sng">
            <w14:solidFill>
              <w14:srgbClr w14:val="000000"/>
            </w14:solidFill>
            <w14:prstDash w14:val="solid"/>
            <w14:bevel/>
          </w14:textOutline>
        </w:rPr>
        <w:t>五)规划</w:t>
      </w:r>
      <w:r>
        <w:rPr>
          <w:rFonts w:hint="eastAsia" w:ascii="楷体" w:hAnsi="楷体" w:eastAsia="楷体" w:cs="楷体"/>
          <w:color w:val="auto"/>
          <w:spacing w:val="24"/>
          <w:sz w:val="32"/>
          <w:szCs w:val="32"/>
          <w:highlight w:val="none"/>
          <w:lang w:eastAsia="zh-CN"/>
          <w14:textOutline w14:w="5793" w14:cap="sq" w14:cmpd="sng">
            <w14:solidFill>
              <w14:srgbClr w14:val="000000"/>
            </w14:solidFill>
            <w14:prstDash w14:val="solid"/>
            <w14:bevel/>
          </w14:textOutline>
        </w:rPr>
        <w:t>总</w:t>
      </w:r>
      <w:r>
        <w:rPr>
          <w:rFonts w:ascii="楷体" w:hAnsi="楷体" w:eastAsia="楷体" w:cs="楷体"/>
          <w:color w:val="auto"/>
          <w:spacing w:val="24"/>
          <w:sz w:val="32"/>
          <w:szCs w:val="32"/>
          <w:highlight w:val="none"/>
          <w14:textOutline w14:w="5793" w14:cap="sq" w14:cmpd="sng">
            <w14:solidFill>
              <w14:srgbClr w14:val="000000"/>
            </w14:solidFill>
            <w14:prstDash w14:val="solid"/>
            <w14:bevel/>
          </w14:textOutline>
        </w:rPr>
        <w:t>目标</w:t>
      </w:r>
      <w:bookmarkEnd w:id="76"/>
      <w:bookmarkEnd w:id="77"/>
      <w:bookmarkEnd w:id="78"/>
      <w:bookmarkEnd w:id="79"/>
    </w:p>
    <w:p>
      <w:pPr>
        <w:keepNext w:val="0"/>
        <w:ind w:firstLine="56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“十四五”期间，水生态环境治理总目标为：保持地表水质Ⅱ(</w:t>
      </w:r>
      <w:r>
        <w:rPr>
          <w:rFonts w:hint="eastAsia" w:ascii="仿宋" w:hAnsi="仿宋" w:eastAsia="仿宋" w:cs="仿宋"/>
          <w:color w:val="auto"/>
          <w:kern w:val="0"/>
          <w:sz w:val="32"/>
          <w:szCs w:val="32"/>
          <w:highlight w:val="none"/>
          <w:lang w:bidi="ar"/>
        </w:rPr>
        <w:t>夹河子水库</w:t>
      </w:r>
      <w:r>
        <w:rPr>
          <w:rFonts w:hint="eastAsia" w:ascii="仿宋" w:hAnsi="仿宋" w:eastAsia="仿宋" w:cs="仿宋"/>
          <w:color w:val="auto"/>
          <w:sz w:val="32"/>
          <w:szCs w:val="32"/>
          <w:highlight w:val="none"/>
        </w:rPr>
        <w:t>Ⅲ类)类不降低；保持饮用水水质优于Ⅲ类；确定生态流量保障目标；重点水体水生生态健康状况不下降；</w:t>
      </w:r>
      <w:r>
        <w:rPr>
          <w:rFonts w:hint="eastAsia" w:ascii="仿宋" w:hAnsi="仿宋" w:eastAsia="仿宋" w:cs="仿宋"/>
          <w:color w:val="auto"/>
          <w:sz w:val="32"/>
          <w:szCs w:val="32"/>
          <w:highlight w:val="none"/>
          <w:lang w:eastAsia="zh-CN"/>
        </w:rPr>
        <w:t>力争完成河湖缓冲带修复长度</w:t>
      </w:r>
      <w:r>
        <w:rPr>
          <w:rFonts w:hint="eastAsia" w:ascii="仿宋" w:hAnsi="仿宋" w:eastAsia="仿宋" w:cs="仿宋"/>
          <w:color w:val="auto"/>
          <w:sz w:val="32"/>
          <w:szCs w:val="32"/>
          <w:highlight w:val="none"/>
          <w:lang w:val="en-US" w:eastAsia="zh-CN"/>
        </w:rPr>
        <w:t>639.4km</w:t>
      </w:r>
      <w:r>
        <w:rPr>
          <w:rFonts w:hint="eastAsia" w:ascii="仿宋" w:hAnsi="仿宋" w:eastAsia="仿宋" w:cs="仿宋"/>
          <w:color w:val="auto"/>
          <w:sz w:val="32"/>
          <w:szCs w:val="32"/>
          <w:highlight w:val="none"/>
        </w:rPr>
        <w:t>。</w:t>
      </w:r>
    </w:p>
    <w:p>
      <w:pPr>
        <w:keepNext w:val="0"/>
        <w:ind w:firstLine="0" w:firstLineChars="0"/>
        <w:jc w:val="center"/>
        <w:rPr>
          <w:rFonts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表</w:t>
      </w:r>
      <w:r>
        <w:rPr>
          <w:rFonts w:hint="eastAsia" w:ascii="黑体" w:hAnsi="黑体" w:eastAsia="黑体" w:cs="黑体"/>
          <w:color w:val="auto"/>
          <w:sz w:val="24"/>
          <w:szCs w:val="24"/>
          <w:highlight w:val="none"/>
        </w:rPr>
        <w:t xml:space="preserve">3-2 </w:t>
      </w:r>
      <w:r>
        <w:rPr>
          <w:rFonts w:hint="eastAsia" w:ascii="黑体" w:hAnsi="黑体" w:eastAsia="黑体" w:cs="黑体"/>
          <w:color w:val="auto"/>
          <w:sz w:val="24"/>
          <w:szCs w:val="24"/>
          <w:highlight w:val="none"/>
          <w:lang w:val="zh-CN"/>
        </w:rPr>
        <w:t>策勒县水生态环境保护“十四五”规划常规指标</w:t>
      </w:r>
    </w:p>
    <w:tbl>
      <w:tblPr>
        <w:tblStyle w:val="26"/>
        <w:tblW w:w="8321" w:type="dxa"/>
        <w:jc w:val="center"/>
        <w:tblInd w:w="0" w:type="dxa"/>
        <w:tblLayout w:type="fixed"/>
        <w:tblCellMar>
          <w:top w:w="0" w:type="dxa"/>
          <w:left w:w="10" w:type="dxa"/>
          <w:bottom w:w="0" w:type="dxa"/>
          <w:right w:w="10" w:type="dxa"/>
        </w:tblCellMar>
      </w:tblPr>
      <w:tblGrid>
        <w:gridCol w:w="832"/>
        <w:gridCol w:w="741"/>
        <w:gridCol w:w="2918"/>
        <w:gridCol w:w="1294"/>
        <w:gridCol w:w="1437"/>
        <w:gridCol w:w="1099"/>
      </w:tblGrid>
      <w:tr>
        <w:tblPrEx>
          <w:tblLayout w:type="fixed"/>
          <w:tblCellMar>
            <w:top w:w="0" w:type="dxa"/>
            <w:left w:w="10" w:type="dxa"/>
            <w:bottom w:w="0" w:type="dxa"/>
            <w:right w:w="10" w:type="dxa"/>
          </w:tblCellMar>
        </w:tblPrEx>
        <w:trPr>
          <w:trHeight w:val="657" w:hRule="exact"/>
          <w:jc w:val="center"/>
        </w:trPr>
        <w:tc>
          <w:tcPr>
            <w:tcW w:w="832" w:type="dxa"/>
            <w:tcBorders>
              <w:top w:val="single" w:color="auto" w:sz="4" w:space="0"/>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类别</w:t>
            </w:r>
          </w:p>
        </w:tc>
        <w:tc>
          <w:tcPr>
            <w:tcW w:w="741" w:type="dxa"/>
            <w:tcBorders>
              <w:top w:val="single" w:color="auto" w:sz="4" w:space="0"/>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序号</w:t>
            </w:r>
          </w:p>
        </w:tc>
        <w:tc>
          <w:tcPr>
            <w:tcW w:w="2918" w:type="dxa"/>
            <w:tcBorders>
              <w:top w:val="single" w:color="auto" w:sz="4" w:space="0"/>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指标</w:t>
            </w:r>
          </w:p>
        </w:tc>
        <w:tc>
          <w:tcPr>
            <w:tcW w:w="1294" w:type="dxa"/>
            <w:tcBorders>
              <w:top w:val="single" w:color="auto" w:sz="4" w:space="0"/>
              <w:left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2020年现状值</w:t>
            </w:r>
          </w:p>
        </w:tc>
        <w:tc>
          <w:tcPr>
            <w:tcW w:w="1437" w:type="dxa"/>
            <w:tcBorders>
              <w:top w:val="single" w:color="auto" w:sz="4" w:space="0"/>
              <w:left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2025年目标值</w:t>
            </w:r>
          </w:p>
        </w:tc>
        <w:tc>
          <w:tcPr>
            <w:tcW w:w="1099" w:type="dxa"/>
            <w:tcBorders>
              <w:top w:val="single" w:color="auto" w:sz="4" w:space="0"/>
              <w:left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备注</w:t>
            </w:r>
          </w:p>
        </w:tc>
      </w:tr>
      <w:tr>
        <w:tblPrEx>
          <w:tblLayout w:type="fixed"/>
          <w:tblCellMar>
            <w:top w:w="0" w:type="dxa"/>
            <w:left w:w="10" w:type="dxa"/>
            <w:bottom w:w="0" w:type="dxa"/>
            <w:right w:w="10" w:type="dxa"/>
          </w:tblCellMar>
        </w:tblPrEx>
        <w:trPr>
          <w:trHeight w:val="637" w:hRule="exact"/>
          <w:jc w:val="center"/>
        </w:trPr>
        <w:tc>
          <w:tcPr>
            <w:tcW w:w="832" w:type="dxa"/>
            <w:vMerge w:val="restart"/>
            <w:tcBorders>
              <w:top w:val="single" w:color="auto" w:sz="4" w:space="0"/>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水环境</w:t>
            </w:r>
          </w:p>
        </w:tc>
        <w:tc>
          <w:tcPr>
            <w:tcW w:w="741" w:type="dxa"/>
            <w:tcBorders>
              <w:top w:val="single" w:color="auto" w:sz="4" w:space="0"/>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w:t>
            </w:r>
          </w:p>
        </w:tc>
        <w:tc>
          <w:tcPr>
            <w:tcW w:w="2918" w:type="dxa"/>
            <w:tcBorders>
              <w:top w:val="single" w:color="auto" w:sz="4" w:space="0"/>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地表水优良（达到或优于Ⅲ类）比例（%）</w:t>
            </w:r>
          </w:p>
        </w:tc>
        <w:tc>
          <w:tcPr>
            <w:tcW w:w="129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100</w:t>
            </w:r>
          </w:p>
        </w:tc>
        <w:tc>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100</w:t>
            </w:r>
          </w:p>
        </w:tc>
        <w:tc>
          <w:tcPr>
            <w:tcW w:w="109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p>
        </w:tc>
      </w:tr>
      <w:tr>
        <w:tblPrEx>
          <w:tblLayout w:type="fixed"/>
          <w:tblCellMar>
            <w:top w:w="0" w:type="dxa"/>
            <w:left w:w="10" w:type="dxa"/>
            <w:bottom w:w="0" w:type="dxa"/>
            <w:right w:w="10" w:type="dxa"/>
          </w:tblCellMar>
        </w:tblPrEx>
        <w:trPr>
          <w:trHeight w:val="464" w:hRule="exact"/>
          <w:jc w:val="center"/>
        </w:trPr>
        <w:tc>
          <w:tcPr>
            <w:tcW w:w="832" w:type="dxa"/>
            <w:vMerge w:val="continue"/>
            <w:tcBorders>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p>
        </w:tc>
        <w:tc>
          <w:tcPr>
            <w:tcW w:w="741" w:type="dxa"/>
            <w:tcBorders>
              <w:top w:val="single" w:color="auto" w:sz="4" w:space="0"/>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w:t>
            </w:r>
          </w:p>
        </w:tc>
        <w:tc>
          <w:tcPr>
            <w:tcW w:w="2918" w:type="dxa"/>
            <w:tcBorders>
              <w:top w:val="single" w:color="auto" w:sz="4" w:space="0"/>
              <w:left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地表水劣V类水体比例（%）</w:t>
            </w:r>
          </w:p>
        </w:tc>
        <w:tc>
          <w:tcPr>
            <w:tcW w:w="129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无</w:t>
            </w:r>
          </w:p>
        </w:tc>
        <w:tc>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无</w:t>
            </w:r>
          </w:p>
        </w:tc>
        <w:tc>
          <w:tcPr>
            <w:tcW w:w="109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p>
        </w:tc>
      </w:tr>
      <w:tr>
        <w:tblPrEx>
          <w:tblLayout w:type="fixed"/>
          <w:tblCellMar>
            <w:top w:w="0" w:type="dxa"/>
            <w:left w:w="10" w:type="dxa"/>
            <w:bottom w:w="0" w:type="dxa"/>
            <w:right w:w="10" w:type="dxa"/>
          </w:tblCellMar>
        </w:tblPrEx>
        <w:trPr>
          <w:trHeight w:val="477" w:hRule="exact"/>
          <w:jc w:val="center"/>
        </w:trPr>
        <w:tc>
          <w:tcPr>
            <w:tcW w:w="832" w:type="dxa"/>
            <w:vMerge w:val="continue"/>
            <w:tcBorders>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p>
        </w:tc>
        <w:tc>
          <w:tcPr>
            <w:tcW w:w="741" w:type="dxa"/>
            <w:tcBorders>
              <w:top w:val="single" w:color="auto" w:sz="4" w:space="0"/>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3</w:t>
            </w:r>
          </w:p>
        </w:tc>
        <w:tc>
          <w:tcPr>
            <w:tcW w:w="2918" w:type="dxa"/>
            <w:tcBorders>
              <w:top w:val="single" w:color="auto" w:sz="4" w:space="0"/>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水功能区达标率（%）</w:t>
            </w:r>
          </w:p>
        </w:tc>
        <w:tc>
          <w:tcPr>
            <w:tcW w:w="129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100</w:t>
            </w:r>
          </w:p>
        </w:tc>
        <w:tc>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100</w:t>
            </w:r>
          </w:p>
        </w:tc>
        <w:tc>
          <w:tcPr>
            <w:tcW w:w="109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p>
        </w:tc>
      </w:tr>
      <w:tr>
        <w:tblPrEx>
          <w:tblLayout w:type="fixed"/>
          <w:tblCellMar>
            <w:top w:w="0" w:type="dxa"/>
            <w:left w:w="10" w:type="dxa"/>
            <w:bottom w:w="0" w:type="dxa"/>
            <w:right w:w="10" w:type="dxa"/>
          </w:tblCellMar>
        </w:tblPrEx>
        <w:trPr>
          <w:trHeight w:val="715" w:hRule="exact"/>
          <w:jc w:val="center"/>
        </w:trPr>
        <w:tc>
          <w:tcPr>
            <w:tcW w:w="832" w:type="dxa"/>
            <w:vMerge w:val="continue"/>
            <w:tcBorders>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p>
        </w:tc>
        <w:tc>
          <w:tcPr>
            <w:tcW w:w="741" w:type="dxa"/>
            <w:tcBorders>
              <w:top w:val="single" w:color="auto" w:sz="4" w:space="0"/>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4</w:t>
            </w:r>
          </w:p>
        </w:tc>
        <w:tc>
          <w:tcPr>
            <w:tcW w:w="2918" w:type="dxa"/>
            <w:tcBorders>
              <w:top w:val="single" w:color="auto" w:sz="4" w:space="0"/>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城市集中式饮用水水源达到或优于Ⅲ类比例（%）</w:t>
            </w:r>
          </w:p>
        </w:tc>
        <w:tc>
          <w:tcPr>
            <w:tcW w:w="129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100</w:t>
            </w:r>
          </w:p>
        </w:tc>
        <w:tc>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100</w:t>
            </w:r>
          </w:p>
        </w:tc>
        <w:tc>
          <w:tcPr>
            <w:tcW w:w="109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p>
        </w:tc>
      </w:tr>
      <w:tr>
        <w:tblPrEx>
          <w:tblLayout w:type="fixed"/>
          <w:tblCellMar>
            <w:top w:w="0" w:type="dxa"/>
            <w:left w:w="10" w:type="dxa"/>
            <w:bottom w:w="0" w:type="dxa"/>
            <w:right w:w="10" w:type="dxa"/>
          </w:tblCellMar>
        </w:tblPrEx>
        <w:trPr>
          <w:trHeight w:val="615" w:hRule="exact"/>
          <w:jc w:val="center"/>
        </w:trPr>
        <w:tc>
          <w:tcPr>
            <w:tcW w:w="832" w:type="dxa"/>
            <w:tcBorders>
              <w:top w:val="single" w:color="auto" w:sz="4" w:space="0"/>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水资源</w:t>
            </w:r>
          </w:p>
        </w:tc>
        <w:tc>
          <w:tcPr>
            <w:tcW w:w="741" w:type="dxa"/>
            <w:tcBorders>
              <w:top w:val="single" w:color="auto" w:sz="4" w:space="0"/>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5</w:t>
            </w:r>
          </w:p>
        </w:tc>
        <w:tc>
          <w:tcPr>
            <w:tcW w:w="2918" w:type="dxa"/>
            <w:tcBorders>
              <w:top w:val="single" w:color="auto" w:sz="4" w:space="0"/>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达到生态流量（水位）底线要求的河湖数量（个）</w:t>
            </w:r>
          </w:p>
        </w:tc>
        <w:tc>
          <w:tcPr>
            <w:tcW w:w="129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 xml:space="preserve">2     </w:t>
            </w:r>
          </w:p>
        </w:tc>
        <w:tc>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val="en-US" w:eastAsia="zh-CN" w:bidi="ar"/>
              </w:rPr>
              <w:t>8</w:t>
            </w:r>
          </w:p>
        </w:tc>
        <w:tc>
          <w:tcPr>
            <w:tcW w:w="109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p>
        </w:tc>
      </w:tr>
      <w:tr>
        <w:tblPrEx>
          <w:tblLayout w:type="fixed"/>
          <w:tblCellMar>
            <w:top w:w="0" w:type="dxa"/>
            <w:left w:w="10" w:type="dxa"/>
            <w:bottom w:w="0" w:type="dxa"/>
            <w:right w:w="10" w:type="dxa"/>
          </w:tblCellMar>
        </w:tblPrEx>
        <w:trPr>
          <w:trHeight w:val="482" w:hRule="exact"/>
          <w:jc w:val="center"/>
        </w:trPr>
        <w:tc>
          <w:tcPr>
            <w:tcW w:w="832" w:type="dxa"/>
            <w:vMerge w:val="restart"/>
            <w:tcBorders>
              <w:top w:val="single" w:color="auto" w:sz="4" w:space="0"/>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水生态</w:t>
            </w:r>
          </w:p>
        </w:tc>
        <w:tc>
          <w:tcPr>
            <w:tcW w:w="741" w:type="dxa"/>
            <w:tcBorders>
              <w:top w:val="single" w:color="auto" w:sz="4" w:space="0"/>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6</w:t>
            </w:r>
          </w:p>
        </w:tc>
        <w:tc>
          <w:tcPr>
            <w:tcW w:w="2918" w:type="dxa"/>
            <w:tcBorders>
              <w:top w:val="single" w:color="auto" w:sz="4" w:space="0"/>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水生生物完整性指数</w:t>
            </w:r>
          </w:p>
        </w:tc>
        <w:tc>
          <w:tcPr>
            <w:tcW w:w="129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w:t>
            </w:r>
          </w:p>
        </w:tc>
        <w:tc>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w:t>
            </w:r>
          </w:p>
        </w:tc>
        <w:tc>
          <w:tcPr>
            <w:tcW w:w="109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p>
        </w:tc>
      </w:tr>
      <w:tr>
        <w:tblPrEx>
          <w:tblLayout w:type="fixed"/>
          <w:tblCellMar>
            <w:top w:w="0" w:type="dxa"/>
            <w:left w:w="10" w:type="dxa"/>
            <w:bottom w:w="0" w:type="dxa"/>
            <w:right w:w="10" w:type="dxa"/>
          </w:tblCellMar>
        </w:tblPrEx>
        <w:trPr>
          <w:trHeight w:val="482" w:hRule="exact"/>
          <w:jc w:val="center"/>
        </w:trPr>
        <w:tc>
          <w:tcPr>
            <w:tcW w:w="832" w:type="dxa"/>
            <w:vMerge w:val="continue"/>
            <w:tcBorders>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p>
        </w:tc>
        <w:tc>
          <w:tcPr>
            <w:tcW w:w="741" w:type="dxa"/>
            <w:tcBorders>
              <w:top w:val="single" w:color="auto" w:sz="4" w:space="0"/>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7</w:t>
            </w:r>
          </w:p>
        </w:tc>
        <w:tc>
          <w:tcPr>
            <w:tcW w:w="2918" w:type="dxa"/>
            <w:tcBorders>
              <w:top w:val="single" w:color="auto" w:sz="4" w:space="0"/>
              <w:lef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河湖生态缓冲带修复长度（km）</w:t>
            </w:r>
          </w:p>
        </w:tc>
        <w:tc>
          <w:tcPr>
            <w:tcW w:w="129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w:t>
            </w:r>
          </w:p>
        </w:tc>
        <w:tc>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639.4km</w:t>
            </w:r>
          </w:p>
        </w:tc>
        <w:tc>
          <w:tcPr>
            <w:tcW w:w="109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p>
        </w:tc>
      </w:tr>
      <w:tr>
        <w:tblPrEx>
          <w:tblLayout w:type="fixed"/>
          <w:tblCellMar>
            <w:top w:w="0" w:type="dxa"/>
            <w:left w:w="10" w:type="dxa"/>
            <w:bottom w:w="0" w:type="dxa"/>
            <w:right w:w="10" w:type="dxa"/>
          </w:tblCellMar>
        </w:tblPrEx>
        <w:trPr>
          <w:trHeight w:val="497" w:hRule="exact"/>
          <w:jc w:val="center"/>
        </w:trPr>
        <w:tc>
          <w:tcPr>
            <w:tcW w:w="832" w:type="dxa"/>
            <w:vMerge w:val="continue"/>
            <w:tcBorders>
              <w:left w:val="single" w:color="auto" w:sz="4" w:space="0"/>
              <w:bottom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p>
        </w:tc>
        <w:tc>
          <w:tcPr>
            <w:tcW w:w="741" w:type="dxa"/>
            <w:tcBorders>
              <w:top w:val="single" w:color="auto" w:sz="4" w:space="0"/>
              <w:left w:val="single" w:color="auto" w:sz="4" w:space="0"/>
              <w:bottom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8</w:t>
            </w:r>
          </w:p>
        </w:tc>
        <w:tc>
          <w:tcPr>
            <w:tcW w:w="2918" w:type="dxa"/>
            <w:tcBorders>
              <w:top w:val="single" w:color="auto" w:sz="4" w:space="0"/>
              <w:left w:val="single" w:color="auto" w:sz="4" w:space="0"/>
              <w:bottom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湿地恢复（建设）面积（hm</w:t>
            </w:r>
            <w:r>
              <w:rPr>
                <w:rFonts w:hint="eastAsia" w:ascii="宋体" w:hAnsi="宋体" w:eastAsia="宋体" w:cs="宋体"/>
                <w:color w:val="auto"/>
                <w:kern w:val="0"/>
                <w:sz w:val="18"/>
                <w:szCs w:val="18"/>
                <w:highlight w:val="none"/>
                <w:vertAlign w:val="superscript"/>
                <w:lang w:bidi="ar"/>
              </w:rPr>
              <w:t>2</w:t>
            </w:r>
            <w:r>
              <w:rPr>
                <w:rFonts w:hint="eastAsia" w:ascii="宋体" w:hAnsi="宋体" w:eastAsia="宋体" w:cs="宋体"/>
                <w:color w:val="auto"/>
                <w:kern w:val="0"/>
                <w:sz w:val="18"/>
                <w:szCs w:val="18"/>
                <w:highlight w:val="none"/>
                <w:lang w:bidi="ar"/>
              </w:rPr>
              <w:t>）</w:t>
            </w:r>
          </w:p>
        </w:tc>
        <w:tc>
          <w:tcPr>
            <w:tcW w:w="129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w:t>
            </w:r>
          </w:p>
        </w:tc>
        <w:tc>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val="en-US" w:eastAsia="zh-CN" w:bidi="ar"/>
              </w:rPr>
              <w:t>0</w:t>
            </w:r>
          </w:p>
        </w:tc>
        <w:tc>
          <w:tcPr>
            <w:tcW w:w="109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p>
        </w:tc>
      </w:tr>
    </w:tbl>
    <w:p>
      <w:pPr>
        <w:keepNext w:val="0"/>
        <w:ind w:firstLine="0" w:firstLineChars="0"/>
        <w:jc w:val="center"/>
        <w:rPr>
          <w:rFonts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表</w:t>
      </w:r>
      <w:r>
        <w:rPr>
          <w:rFonts w:hint="eastAsia" w:ascii="黑体" w:hAnsi="黑体" w:eastAsia="黑体" w:cs="黑体"/>
          <w:color w:val="auto"/>
          <w:sz w:val="24"/>
          <w:szCs w:val="24"/>
          <w:highlight w:val="none"/>
        </w:rPr>
        <w:t xml:space="preserve">3-3 </w:t>
      </w:r>
      <w:r>
        <w:rPr>
          <w:rFonts w:hint="eastAsia" w:ascii="黑体" w:hAnsi="黑体" w:eastAsia="黑体" w:cs="黑体"/>
          <w:color w:val="auto"/>
          <w:sz w:val="24"/>
          <w:szCs w:val="24"/>
          <w:highlight w:val="none"/>
          <w:lang w:val="zh-CN"/>
        </w:rPr>
        <w:t>“十四五”规划亲民指标</w:t>
      </w:r>
    </w:p>
    <w:tbl>
      <w:tblPr>
        <w:tblStyle w:val="26"/>
        <w:tblW w:w="81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43"/>
        <w:gridCol w:w="692"/>
        <w:gridCol w:w="2916"/>
        <w:gridCol w:w="844"/>
        <w:gridCol w:w="1195"/>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21" w:hRule="exact"/>
          <w:jc w:val="center"/>
        </w:trPr>
        <w:tc>
          <w:tcPr>
            <w:tcW w:w="843"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类别</w:t>
            </w:r>
          </w:p>
        </w:tc>
        <w:tc>
          <w:tcPr>
            <w:tcW w:w="692"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序号</w:t>
            </w:r>
          </w:p>
        </w:tc>
        <w:tc>
          <w:tcPr>
            <w:tcW w:w="2916"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指标</w:t>
            </w:r>
          </w:p>
        </w:tc>
        <w:tc>
          <w:tcPr>
            <w:tcW w:w="844"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2020年现状值</w:t>
            </w:r>
          </w:p>
        </w:tc>
        <w:tc>
          <w:tcPr>
            <w:tcW w:w="1195"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2025年目标值</w:t>
            </w:r>
          </w:p>
        </w:tc>
        <w:tc>
          <w:tcPr>
            <w:tcW w:w="1706"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03" w:hRule="exact"/>
          <w:jc w:val="center"/>
        </w:trPr>
        <w:tc>
          <w:tcPr>
            <w:tcW w:w="843"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水环境</w:t>
            </w:r>
          </w:p>
        </w:tc>
        <w:tc>
          <w:tcPr>
            <w:tcW w:w="692"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w:t>
            </w:r>
          </w:p>
        </w:tc>
        <w:tc>
          <w:tcPr>
            <w:tcW w:w="2916"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城市建成区黑臭水体控制比例（%）</w:t>
            </w:r>
          </w:p>
        </w:tc>
        <w:tc>
          <w:tcPr>
            <w:tcW w:w="844"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w:t>
            </w:r>
          </w:p>
        </w:tc>
        <w:tc>
          <w:tcPr>
            <w:tcW w:w="1195"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w:t>
            </w:r>
          </w:p>
        </w:tc>
        <w:tc>
          <w:tcPr>
            <w:tcW w:w="1706"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562" w:hRule="exact"/>
          <w:jc w:val="center"/>
        </w:trPr>
        <w:tc>
          <w:tcPr>
            <w:tcW w:w="843"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水资源</w:t>
            </w:r>
          </w:p>
        </w:tc>
        <w:tc>
          <w:tcPr>
            <w:tcW w:w="692"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w:t>
            </w:r>
          </w:p>
        </w:tc>
        <w:tc>
          <w:tcPr>
            <w:tcW w:w="2916"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恢复</w:t>
            </w:r>
            <w:r>
              <w:rPr>
                <w:rFonts w:hint="eastAsia" w:ascii="宋体" w:hAnsi="宋体" w:eastAsia="宋体" w:cs="宋体"/>
                <w:color w:val="auto"/>
                <w:kern w:val="0"/>
                <w:sz w:val="18"/>
                <w:szCs w:val="18"/>
                <w:highlight w:val="none"/>
                <w:lang w:val="zh-CN" w:bidi="ar"/>
              </w:rPr>
              <w:t>“有</w:t>
            </w:r>
            <w:r>
              <w:rPr>
                <w:rFonts w:hint="eastAsia" w:ascii="宋体" w:hAnsi="宋体" w:eastAsia="宋体" w:cs="宋体"/>
                <w:color w:val="auto"/>
                <w:kern w:val="0"/>
                <w:sz w:val="18"/>
                <w:szCs w:val="18"/>
                <w:highlight w:val="none"/>
                <w:lang w:bidi="ar"/>
              </w:rPr>
              <w:t>水”的河流数量（个）</w:t>
            </w:r>
          </w:p>
        </w:tc>
        <w:tc>
          <w:tcPr>
            <w:tcW w:w="844"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w:t>
            </w:r>
          </w:p>
        </w:tc>
        <w:tc>
          <w:tcPr>
            <w:tcW w:w="1195"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w:t>
            </w:r>
          </w:p>
        </w:tc>
        <w:tc>
          <w:tcPr>
            <w:tcW w:w="1706"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44" w:hRule="exact"/>
          <w:jc w:val="center"/>
        </w:trPr>
        <w:tc>
          <w:tcPr>
            <w:tcW w:w="843"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水生态</w:t>
            </w:r>
          </w:p>
        </w:tc>
        <w:tc>
          <w:tcPr>
            <w:tcW w:w="692"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3</w:t>
            </w:r>
          </w:p>
        </w:tc>
        <w:tc>
          <w:tcPr>
            <w:tcW w:w="2916"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重现土著鱼类或水生植物的水体数量（个）</w:t>
            </w:r>
          </w:p>
        </w:tc>
        <w:tc>
          <w:tcPr>
            <w:tcW w:w="844"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w:t>
            </w:r>
          </w:p>
        </w:tc>
        <w:tc>
          <w:tcPr>
            <w:tcW w:w="1195"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0</w:t>
            </w:r>
          </w:p>
        </w:tc>
        <w:tc>
          <w:tcPr>
            <w:tcW w:w="1706" w:type="dxa"/>
            <w:tcBorders>
              <w:tl2br w:val="nil"/>
              <w:tr2bl w:val="nil"/>
            </w:tcBorders>
            <w:shd w:val="clear" w:color="auto" w:fill="FFFFFF"/>
            <w:vAlign w:val="center"/>
          </w:tcPr>
          <w:p>
            <w:pPr>
              <w:keepNext w:val="0"/>
              <w:widowControl/>
              <w:spacing w:line="240" w:lineRule="auto"/>
              <w:ind w:firstLine="0" w:firstLineChars="0"/>
              <w:jc w:val="center"/>
              <w:textAlignment w:val="center"/>
              <w:rPr>
                <w:rFonts w:ascii="宋体" w:hAnsi="宋体" w:eastAsia="宋体" w:cs="宋体"/>
                <w:color w:val="auto"/>
                <w:kern w:val="0"/>
                <w:sz w:val="18"/>
                <w:szCs w:val="18"/>
                <w:highlight w:val="none"/>
                <w:lang w:bidi="ar"/>
              </w:rPr>
            </w:pPr>
          </w:p>
        </w:tc>
      </w:tr>
    </w:tbl>
    <w:p>
      <w:pPr>
        <w:rPr>
          <w:color w:val="auto"/>
          <w:highlight w:val="none"/>
        </w:rPr>
      </w:pPr>
    </w:p>
    <w:p>
      <w:pPr>
        <w:pStyle w:val="20"/>
        <w:keepNext/>
        <w:keepLines w:val="0"/>
        <w:pageBreakBefore w:val="0"/>
        <w:widowControl w:val="0"/>
        <w:kinsoku/>
        <w:wordWrap/>
        <w:overflowPunct/>
        <w:topLinePunct w:val="0"/>
        <w:autoSpaceDE/>
        <w:autoSpaceDN/>
        <w:bidi w:val="0"/>
        <w:adjustRightInd w:val="0"/>
        <w:snapToGrid w:val="0"/>
        <w:spacing w:line="360" w:lineRule="auto"/>
        <w:ind w:left="0"/>
        <w:textAlignment w:val="auto"/>
        <w:outlineLvl w:val="0"/>
        <w:rPr>
          <w:rFonts w:hint="eastAsia" w:ascii="黑体" w:hAnsi="黑体" w:eastAsia="黑体" w:cs="黑体"/>
          <w:b/>
          <w:bCs/>
          <w:color w:val="auto"/>
          <w:sz w:val="32"/>
          <w:szCs w:val="32"/>
          <w:highlight w:val="none"/>
          <w:lang w:val="en-US" w:eastAsia="zh-CN"/>
        </w:rPr>
      </w:pPr>
      <w:bookmarkStart w:id="80" w:name="_Toc15900"/>
      <w:bookmarkStart w:id="81" w:name="_Toc18377"/>
      <w:bookmarkStart w:id="82" w:name="_Toc24337"/>
      <w:bookmarkStart w:id="83" w:name="_Toc23019"/>
      <w:r>
        <w:rPr>
          <w:rFonts w:hint="eastAsia" w:ascii="黑体" w:hAnsi="黑体" w:eastAsia="黑体" w:cs="黑体"/>
          <w:b/>
          <w:bCs/>
          <w:color w:val="auto"/>
          <w:sz w:val="32"/>
          <w:szCs w:val="32"/>
          <w:highlight w:val="none"/>
          <w:lang w:val="en-US" w:eastAsia="zh-CN"/>
        </w:rPr>
        <w:t>三、规划任务</w:t>
      </w:r>
      <w:bookmarkEnd w:id="80"/>
      <w:bookmarkEnd w:id="81"/>
      <w:bookmarkEnd w:id="82"/>
      <w:bookmarkEnd w:id="83"/>
    </w:p>
    <w:p>
      <w:pPr>
        <w:keepNext/>
        <w:keepLines w:val="0"/>
        <w:pageBreakBefore w:val="0"/>
        <w:widowControl w:val="0"/>
        <w:kinsoku/>
        <w:wordWrap/>
        <w:overflowPunct/>
        <w:topLinePunct w:val="0"/>
        <w:autoSpaceDE/>
        <w:autoSpaceDN/>
        <w:bidi w:val="0"/>
        <w:adjustRightInd w:val="0"/>
        <w:snapToGrid w:val="0"/>
        <w:spacing w:line="360" w:lineRule="auto"/>
        <w:ind w:left="0" w:leftChars="0" w:firstLine="643" w:firstLineChars="200"/>
        <w:textAlignment w:val="auto"/>
        <w:outlineLvl w:val="1"/>
        <w:rPr>
          <w:rFonts w:hint="eastAsia"/>
          <w:b/>
          <w:bCs/>
          <w:color w:val="auto"/>
          <w:sz w:val="32"/>
          <w:szCs w:val="24"/>
          <w:highlight w:val="none"/>
          <w:lang w:val="en-US" w:eastAsia="zh-CN"/>
        </w:rPr>
      </w:pPr>
      <w:bookmarkStart w:id="84" w:name="_Toc24046"/>
      <w:bookmarkStart w:id="85" w:name="_Toc9704"/>
      <w:bookmarkStart w:id="86" w:name="_Toc31441"/>
      <w:bookmarkStart w:id="87" w:name="_Toc8964"/>
      <w:r>
        <w:rPr>
          <w:rFonts w:hint="eastAsia"/>
          <w:b/>
          <w:bCs/>
          <w:color w:val="auto"/>
          <w:sz w:val="32"/>
          <w:szCs w:val="24"/>
          <w:highlight w:val="none"/>
          <w:lang w:val="en-US" w:eastAsia="zh-CN"/>
        </w:rPr>
        <w:t>（一）提升生态系统功能，提高人民群众幸福感</w:t>
      </w:r>
      <w:bookmarkEnd w:id="84"/>
      <w:bookmarkEnd w:id="85"/>
      <w:bookmarkEnd w:id="86"/>
      <w:bookmarkEnd w:id="87"/>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推进饮用水水源水质保障工程。因地制宜实施饮用水水源保护区生态修复、重要湖库型水源地富营养化防治，科学推进县级及以上饮用水水源地周边水源涵养林建设。全面排查乡镇级集中式饮用水水源保护区生活污水、生活垃圾、畜禽养殖等风险源，进一步巩固水源保护区内规范化整治成果，稳步推进乡镇级“千吨万人”水源地环境保护专项整治，制定并实施“一源一案”。推进农村分散式饮用水水源地环境综合整治，优先开展受人为污染影响超标的水源污染治理，筑牢群众饮水安全第一道防线。对水质不达标的水源，采取水源更换、集中供水、污染治理等措施，确保饮水安全。到2025年，县级及以上城市集中式饮用水水源地水质达标率保持100%，乡镇及以下饮用水水源地水质达标率达到90%以上。</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健全饮用水源地监测监管体系。完善饮用水水源地名录及信息档案，强化饮用水水源地“身份”管理，分级管理饮用水水源地档案信息，规范制作各级水源保护区矢量图层，评估饮用水水源地环境状况，健全饮用水水源、供水单位供水和用户出水的水质信息公开制度，实现信息公开。建立健全饮用水水源地日常监管制度，强化生态环境、水利等部门合作，完善饮用水水源地环境保护协调联动机制，切实提升饮用水水源地安全保障水平。</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完善饮用水水源地规范化建设。规范设置饮用水源地标识标牌和隔离防护工程，开展策勒河、奴尔河等饮用水源地规范化建设。扎实推进农村饮用水水源地规范化建设，推进城镇供水管网延伸或者跨村、跨乡镇联片集中供水，实现水源共享、水量互济、联网供水。到2023年，全面完成乡镇级集中式饮用水水源保护区划定与规范化整治工作。</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提升饮用水源地风险防控能力。加强水源水、出厂水、管网水、末梢水的全过程管理，定期开展饮用水水源环境状况调查评估，建立隐患排查整治台账和风险源名录，提升地表水型饮用水水源地预警监控能力。定期开展乡镇级水源地水质常规监测，加强农村饮用水水源地水质监测，建立健全部门间监测数据共享机制建设完善饮用水水源应急管理体系。完善集中式水源地突发环境事件应急预案，定期开展应急演练。</w:t>
      </w:r>
    </w:p>
    <w:p>
      <w:pPr>
        <w:keepNext/>
        <w:keepLines w:val="0"/>
        <w:pageBreakBefore w:val="0"/>
        <w:widowControl w:val="0"/>
        <w:kinsoku/>
        <w:wordWrap/>
        <w:overflowPunct/>
        <w:topLinePunct w:val="0"/>
        <w:autoSpaceDE/>
        <w:autoSpaceDN/>
        <w:bidi w:val="0"/>
        <w:adjustRightInd w:val="0"/>
        <w:snapToGrid w:val="0"/>
        <w:spacing w:line="360" w:lineRule="auto"/>
        <w:ind w:left="0" w:leftChars="0" w:firstLine="643" w:firstLineChars="200"/>
        <w:textAlignment w:val="auto"/>
        <w:outlineLvl w:val="1"/>
        <w:rPr>
          <w:rFonts w:hint="eastAsia"/>
          <w:b/>
          <w:bCs/>
          <w:color w:val="auto"/>
          <w:sz w:val="32"/>
          <w:szCs w:val="32"/>
          <w:highlight w:val="none"/>
          <w:lang w:val="en-US" w:eastAsia="zh-CN"/>
        </w:rPr>
      </w:pPr>
      <w:bookmarkStart w:id="88" w:name="_Toc3394"/>
      <w:bookmarkStart w:id="89" w:name="_Toc12845"/>
      <w:bookmarkStart w:id="90" w:name="_Toc25018"/>
      <w:bookmarkStart w:id="91" w:name="_Toc7807"/>
      <w:r>
        <w:rPr>
          <w:rFonts w:hint="eastAsia"/>
          <w:b/>
          <w:bCs/>
          <w:color w:val="auto"/>
          <w:sz w:val="32"/>
          <w:szCs w:val="32"/>
          <w:highlight w:val="none"/>
          <w:lang w:val="en-US" w:eastAsia="zh-CN"/>
        </w:rPr>
        <w:t>（二）巩固流域治理成效，筑牢水环境质量底线</w:t>
      </w:r>
      <w:bookmarkEnd w:id="88"/>
      <w:bookmarkEnd w:id="89"/>
      <w:bookmarkEnd w:id="90"/>
      <w:bookmarkEnd w:id="91"/>
    </w:p>
    <w:p>
      <w:pPr>
        <w:spacing w:before="266" w:line="360" w:lineRule="auto"/>
        <w:outlineLvl w:val="2"/>
        <w:rPr>
          <w:rFonts w:hint="eastAsia" w:ascii="Times New Roman" w:hAnsi="Times New Roman" w:eastAsia="仿宋" w:cs="Times New Roman"/>
          <w:b/>
          <w:bCs/>
          <w:color w:val="auto"/>
          <w:spacing w:val="5"/>
          <w:sz w:val="32"/>
          <w:szCs w:val="32"/>
          <w:highlight w:val="none"/>
          <w:lang w:val="en-US" w:eastAsia="zh-CN"/>
        </w:rPr>
      </w:pPr>
      <w:bookmarkStart w:id="92" w:name="_Toc10231"/>
      <w:r>
        <w:rPr>
          <w:rFonts w:hint="eastAsia" w:ascii="Times New Roman" w:hAnsi="Times New Roman" w:eastAsia="仿宋" w:cs="Times New Roman"/>
          <w:b/>
          <w:bCs/>
          <w:color w:val="auto"/>
          <w:spacing w:val="5"/>
          <w:sz w:val="32"/>
          <w:szCs w:val="32"/>
          <w:highlight w:val="none"/>
          <w:lang w:val="en-US" w:eastAsia="zh-CN"/>
        </w:rPr>
        <w:t>1.加强入河排污口排查与整治。</w:t>
      </w:r>
      <w:bookmarkEnd w:id="92"/>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开展入河排污口排查整治，严格入河排污口设置审批。依法依规审批工矿企业、工业及其他园区污水处理厂、城镇污水处理厂入河排污口。未达到水质目标的水功能区，除城镇污水处理厂入河排污口外，应当严格控制新建、改建或者扩大排污口。复核已审批入河排污口信息，手续不完善的应限期完成审核流程。新建、改建或者扩大入河排污口应依法依规进行审批。可能影响防洪、航运、供水安全的入河排污口设置审批时，应依法依规办理相应审批手续，入河排污口审批信息要及时向社会公开。</w:t>
      </w:r>
    </w:p>
    <w:p>
      <w:pPr>
        <w:spacing w:before="266" w:line="360" w:lineRule="auto"/>
        <w:outlineLvl w:val="2"/>
        <w:rPr>
          <w:rFonts w:hint="eastAsia" w:ascii="Times New Roman" w:hAnsi="Times New Roman" w:eastAsia="仿宋" w:cs="Times New Roman"/>
          <w:b/>
          <w:bCs/>
          <w:color w:val="auto"/>
          <w:spacing w:val="5"/>
          <w:sz w:val="31"/>
          <w:szCs w:val="31"/>
          <w:highlight w:val="none"/>
          <w:lang w:val="en-US" w:eastAsia="zh-CN"/>
        </w:rPr>
      </w:pPr>
      <w:bookmarkStart w:id="93" w:name="_Toc32748"/>
      <w:r>
        <w:rPr>
          <w:rFonts w:hint="eastAsia" w:ascii="Times New Roman" w:hAnsi="Times New Roman" w:eastAsia="仿宋" w:cs="Times New Roman"/>
          <w:b/>
          <w:bCs/>
          <w:color w:val="auto"/>
          <w:spacing w:val="5"/>
          <w:sz w:val="31"/>
          <w:szCs w:val="31"/>
          <w:highlight w:val="none"/>
          <w:lang w:val="en-US" w:eastAsia="zh-CN"/>
        </w:rPr>
        <w:t>2.持续推进农业农村污染防治。</w:t>
      </w:r>
      <w:bookmarkEnd w:id="93"/>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农业种植污染防治。突破农业面源污染防治瓶颈，以县为单位，建立农业产业准入负面清单制度，强化准入管理和底线约束。实施化肥、化学农药减量增效行动，大力发展测土配方施肥和农作物病虫害统防统治与绿色防控，深入开展粮油作物绿色高质高效创建、绿色提质增效行动，科学使用地膜覆盖技术，加强农膜回收利用与减量替代，保持化学农药、化肥施用量零增长。</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在乡村振兴示范区推广绿色防控技术，推进化肥减量增效示范区建设。严格控制主要干流岸线30米范围内农药化肥使用。</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农业养殖污染防治。优化调整畜禽养殖业布局，促进养殖规模与资源环境相匹配，科学划定禁止养殖区、限制养殖区和允许养殖区，科学确定养殖规模和养殖密度。依法关闭或搬迁禁养区内的违规畜禽养殖场。以废弃物资源化利用为途径，整县推进畜禽养殖污染防治。推进种养结合，鼓励在规模种植基地周边建设农牧循环型畜禽养殖场（户），促进粪肥还田，加强农副产品饲料化利用，到2025年，畜禽粪污综合利用率达到80%以上。加快推进水产生态健康养殖升级，规范设置养殖尾水排污口，加快养殖尾水处理等环保设施升级改造，稳步推动区域畜禽粪污资源化利用及水产养殖尾水治理，持续促进水产养殖用药减量。</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农村生活污染治理。加强农村人居环境整治，深入推进农村生活垃圾治理，持续开展农村生活污水治理“千村示范工程”建设，全县范围内新建一批农村生活污水处理设施及配套管网，统筹考虑农村生活污水治理与农户卫生厕所建设改造，推动粪污还田等资源化利用方式，持续开展农村生活污水治理实施农田沟渠、塘堰等灌排系统进行生态化改造，合理利用菜园、果园、花园等实现就地消纳无害化处理，有条件的地区开展小微湿地建设、栽植水生植物和建设植物隔离带等。到2025年，全县80%的行政村农村生活污水得到有效处理，生活垃圾治理率达100%，实现幸福美丽新村建设全覆盖。</w:t>
      </w:r>
    </w:p>
    <w:p>
      <w:pPr>
        <w:keepNext/>
        <w:keepLines w:val="0"/>
        <w:pageBreakBefore w:val="0"/>
        <w:widowControl w:val="0"/>
        <w:kinsoku/>
        <w:wordWrap/>
        <w:overflowPunct/>
        <w:topLinePunct w:val="0"/>
        <w:autoSpaceDE/>
        <w:autoSpaceDN/>
        <w:bidi w:val="0"/>
        <w:adjustRightInd w:val="0"/>
        <w:snapToGrid w:val="0"/>
        <w:spacing w:line="360" w:lineRule="auto"/>
        <w:ind w:left="0" w:leftChars="0" w:firstLine="643" w:firstLineChars="200"/>
        <w:textAlignment w:val="auto"/>
        <w:outlineLvl w:val="1"/>
        <w:rPr>
          <w:rFonts w:hint="eastAsia"/>
          <w:b/>
          <w:bCs/>
          <w:color w:val="auto"/>
          <w:sz w:val="32"/>
          <w:szCs w:val="32"/>
          <w:highlight w:val="none"/>
          <w:lang w:val="en-US" w:eastAsia="zh-CN"/>
        </w:rPr>
      </w:pPr>
      <w:bookmarkStart w:id="94" w:name="_Toc28823"/>
      <w:bookmarkStart w:id="95" w:name="_Toc12273"/>
      <w:bookmarkStart w:id="96" w:name="_Toc25918"/>
      <w:bookmarkStart w:id="97" w:name="_Toc9509"/>
      <w:r>
        <w:rPr>
          <w:rFonts w:hint="eastAsia"/>
          <w:b/>
          <w:bCs/>
          <w:color w:val="auto"/>
          <w:sz w:val="32"/>
          <w:szCs w:val="32"/>
          <w:highlight w:val="none"/>
          <w:lang w:val="en-US" w:eastAsia="zh-CN"/>
        </w:rPr>
        <w:t>（三）推进流域生态修复，提升水生态系统功能</w:t>
      </w:r>
      <w:bookmarkEnd w:id="94"/>
      <w:bookmarkEnd w:id="95"/>
      <w:bookmarkEnd w:id="96"/>
      <w:bookmarkEnd w:id="97"/>
    </w:p>
    <w:p>
      <w:pPr>
        <w:spacing w:before="266" w:line="360" w:lineRule="auto"/>
        <w:outlineLvl w:val="2"/>
        <w:rPr>
          <w:rFonts w:hint="eastAsia" w:ascii="Times New Roman" w:hAnsi="Times New Roman" w:eastAsia="仿宋" w:cs="Times New Roman"/>
          <w:b/>
          <w:bCs/>
          <w:color w:val="auto"/>
          <w:spacing w:val="5"/>
          <w:sz w:val="32"/>
          <w:szCs w:val="32"/>
          <w:highlight w:val="none"/>
          <w:lang w:val="en-US" w:eastAsia="zh-CN"/>
        </w:rPr>
      </w:pPr>
      <w:bookmarkStart w:id="98" w:name="_Toc25122"/>
      <w:r>
        <w:rPr>
          <w:rFonts w:hint="eastAsia" w:ascii="Times New Roman" w:hAnsi="Times New Roman" w:eastAsia="仿宋" w:cs="Times New Roman"/>
          <w:b/>
          <w:bCs/>
          <w:color w:val="auto"/>
          <w:spacing w:val="5"/>
          <w:sz w:val="32"/>
          <w:szCs w:val="32"/>
          <w:highlight w:val="none"/>
          <w:lang w:val="en-US" w:eastAsia="zh-CN"/>
        </w:rPr>
        <w:t>1.强化水生态系统整体保护。</w:t>
      </w:r>
      <w:bookmarkEnd w:id="98"/>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推进生态缓冲带划定与保护。依据河湖岸线物理特性、水文情势、周边土地利用情况和缓冲带功能，推进重点流域干流、重要支流和重点湖库周边生态缓冲带划定，明确河湖生态缓冲带恢复、水生植被恢复等规模化生态保护恢复任务。按照生态优先、自然修复为主的原则对河湖缓冲带进行生态修复，加强生态缓冲带拦截污染、净化水体、提升生态系统完整性等功能。因地制宜鼓励探索实施河湖生态缓冲带管控措施，严格控制与生态保护无关的开发活动，引导与生态保护无关的生产活动和建设项目逐步退出。到2025年，河湖生态缓冲带修复长度为639.4km。强化湿地保护与建设。实施湿地保护与恢复工程，推动国家湿地公园恢复工程，开展退耕还湿、退养还滩、生态补水，稳定和扩大湿地面积。</w:t>
      </w:r>
    </w:p>
    <w:p>
      <w:pPr>
        <w:spacing w:before="266" w:line="360" w:lineRule="auto"/>
        <w:outlineLvl w:val="2"/>
        <w:rPr>
          <w:rFonts w:hint="eastAsia" w:ascii="Times New Roman" w:hAnsi="Times New Roman" w:eastAsia="仿宋" w:cs="Times New Roman"/>
          <w:b/>
          <w:bCs/>
          <w:color w:val="auto"/>
          <w:spacing w:val="5"/>
          <w:sz w:val="32"/>
          <w:szCs w:val="32"/>
          <w:highlight w:val="none"/>
          <w:lang w:val="en-US" w:eastAsia="zh-CN"/>
        </w:rPr>
      </w:pPr>
      <w:bookmarkStart w:id="99" w:name="_Toc18332"/>
      <w:r>
        <w:rPr>
          <w:rFonts w:hint="eastAsia" w:ascii="Times New Roman" w:hAnsi="Times New Roman" w:eastAsia="仿宋" w:cs="Times New Roman"/>
          <w:b/>
          <w:bCs/>
          <w:color w:val="auto"/>
          <w:spacing w:val="5"/>
          <w:sz w:val="32"/>
          <w:szCs w:val="32"/>
          <w:highlight w:val="none"/>
          <w:lang w:val="en-US" w:eastAsia="zh-CN"/>
        </w:rPr>
        <w:t>2.开展水生生物多样性保护。</w:t>
      </w:r>
      <w:bookmarkEnd w:id="99"/>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保护恢复水生生物生境。加强流域生境保护，开展珍稀特有鱼类国家级自然保护区产卵场、索饵场、越冬场、洄游通道等关键栖息地保护力度。科学评估涉水项目对生物多样性的影响，实施水生生物洄游通道恢复、微生境修复等措施，保护重要鱼类生境不受破坏。</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开展水生生物多样性调查与评估。开展渔业资源与环境调查评估，组织实施策勒河、努尔河、乌鲁克萨依河水生态环境考核评价，到2025年，完成生态调查与评估，试点建立干流水生生物完整性指数评价体系。</w:t>
      </w:r>
    </w:p>
    <w:p>
      <w:pPr>
        <w:keepNext/>
        <w:keepLines w:val="0"/>
        <w:pageBreakBefore w:val="0"/>
        <w:widowControl w:val="0"/>
        <w:kinsoku/>
        <w:wordWrap/>
        <w:overflowPunct/>
        <w:topLinePunct w:val="0"/>
        <w:autoSpaceDE/>
        <w:autoSpaceDN/>
        <w:bidi w:val="0"/>
        <w:adjustRightInd w:val="0"/>
        <w:snapToGrid w:val="0"/>
        <w:spacing w:line="360" w:lineRule="auto"/>
        <w:ind w:left="0" w:leftChars="0" w:firstLine="643" w:firstLineChars="200"/>
        <w:textAlignment w:val="auto"/>
        <w:outlineLvl w:val="1"/>
        <w:rPr>
          <w:rFonts w:hint="eastAsia"/>
          <w:b/>
          <w:bCs/>
          <w:color w:val="auto"/>
          <w:sz w:val="32"/>
          <w:szCs w:val="32"/>
          <w:highlight w:val="none"/>
          <w:lang w:val="en-US" w:eastAsia="zh-CN"/>
        </w:rPr>
      </w:pPr>
      <w:bookmarkStart w:id="100" w:name="_Toc5984"/>
      <w:bookmarkStart w:id="101" w:name="_Toc6832"/>
      <w:bookmarkStart w:id="102" w:name="_Toc18928"/>
      <w:bookmarkStart w:id="103" w:name="_Toc22946"/>
      <w:r>
        <w:rPr>
          <w:rFonts w:hint="eastAsia"/>
          <w:b/>
          <w:bCs/>
          <w:color w:val="auto"/>
          <w:sz w:val="32"/>
          <w:szCs w:val="32"/>
          <w:highlight w:val="none"/>
          <w:lang w:val="en-US" w:eastAsia="zh-CN"/>
        </w:rPr>
        <w:t>（四）保障河湖生态流量，协调水资源保护开发</w:t>
      </w:r>
      <w:bookmarkEnd w:id="100"/>
      <w:bookmarkEnd w:id="101"/>
      <w:bookmarkEnd w:id="102"/>
      <w:bookmarkEnd w:id="103"/>
    </w:p>
    <w:p>
      <w:pPr>
        <w:spacing w:before="266" w:line="360" w:lineRule="auto"/>
        <w:outlineLvl w:val="2"/>
        <w:rPr>
          <w:rFonts w:hint="eastAsia" w:ascii="Times New Roman" w:hAnsi="Times New Roman" w:eastAsia="仿宋" w:cs="Times New Roman"/>
          <w:b/>
          <w:bCs/>
          <w:color w:val="auto"/>
          <w:spacing w:val="5"/>
          <w:sz w:val="32"/>
          <w:szCs w:val="32"/>
          <w:highlight w:val="none"/>
          <w:lang w:val="en-US" w:eastAsia="zh-CN"/>
        </w:rPr>
      </w:pPr>
      <w:bookmarkStart w:id="104" w:name="_Toc3875"/>
      <w:r>
        <w:rPr>
          <w:rFonts w:hint="eastAsia" w:ascii="Times New Roman" w:hAnsi="Times New Roman" w:eastAsia="仿宋" w:cs="Times New Roman"/>
          <w:b/>
          <w:bCs/>
          <w:color w:val="auto"/>
          <w:spacing w:val="5"/>
          <w:sz w:val="32"/>
          <w:szCs w:val="32"/>
          <w:highlight w:val="none"/>
          <w:lang w:val="en-US" w:eastAsia="zh-CN"/>
        </w:rPr>
        <w:t>1.保障河湖生态流量。</w:t>
      </w:r>
      <w:bookmarkEnd w:id="104"/>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严守水资源用水总量控制红线。严格贯彻落实《新疆用水总量控制方案》、《策勒县用水总量控制方案》提出的策勒县退地减水、灌溉面积控制任务，杜绝超采地下水，控制农业水用量。按照水资源“三条红线”各项控制指标要求，各市、县从严加强各类规划和建设项目的水资源论证报告审批和跟踪，地下水开发利用以及取水许可的监督管理。到2025年，策勒县年用水总量控制在27122万立方米以内。</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保障河湖生态流量（水位）。健全河湖生态流量（水量）保障机制，进一步明确河湖生态流量（水量）总体目标和任务，明晰各级政府及相关部门的责任。稳步推进水资源量不足河流水系联通工程，落实河湖生态流量（水量）考核，并将河湖生态流量考核结果纳入最严格水资源管理制度。开展重点河湖重要控制断面生态流量常态化监测监管，不断提升河湖生态流量监管能力和水平。探索建立市场化、多元化的流域生态流量（水量）保障生态补偿机制。到2025年，确保4条较大河流不同断面生态流量得到保障。合理配置与调度水资源，完善水资源监测体系，强化水资源统一调度。</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建立生态流量保障机制。</w:t>
      </w:r>
      <w:r>
        <w:rPr>
          <w:rFonts w:hint="default" w:ascii="仿宋_GB2312" w:hAnsi="仿宋_GB2312" w:eastAsia="仿宋_GB2312" w:cs="仿宋_GB2312"/>
          <w:color w:val="auto"/>
          <w:sz w:val="32"/>
          <w:szCs w:val="32"/>
          <w:highlight w:val="none"/>
          <w:lang w:val="en-US" w:eastAsia="zh-CN"/>
        </w:rPr>
        <w:t>在各重点河湖的重点监测断面对生态流量放泄情况进行实时监测，同时依据监测断面流量（水量）情况提出预警；进步整合流域的基础监测体系，构建更全面的自动化监测系统</w:t>
      </w:r>
      <w:r>
        <w:rPr>
          <w:rFonts w:hint="eastAsia" w:ascii="仿宋_GB2312" w:hAnsi="仿宋_GB2312" w:eastAsia="仿宋_GB2312" w:cs="仿宋_GB2312"/>
          <w:color w:val="auto"/>
          <w:sz w:val="32"/>
          <w:szCs w:val="32"/>
          <w:highlight w:val="none"/>
          <w:lang w:val="en-US" w:eastAsia="zh-CN"/>
        </w:rPr>
        <w:t>。</w:t>
      </w:r>
    </w:p>
    <w:p>
      <w:pPr>
        <w:spacing w:before="266" w:line="360" w:lineRule="auto"/>
        <w:outlineLvl w:val="2"/>
        <w:rPr>
          <w:rFonts w:hint="eastAsia" w:ascii="Times New Roman" w:hAnsi="Times New Roman" w:eastAsia="仿宋" w:cs="Times New Roman"/>
          <w:b/>
          <w:bCs/>
          <w:color w:val="auto"/>
          <w:spacing w:val="5"/>
          <w:sz w:val="32"/>
          <w:szCs w:val="32"/>
          <w:highlight w:val="none"/>
          <w:lang w:val="en-US" w:eastAsia="zh-CN"/>
        </w:rPr>
      </w:pPr>
      <w:bookmarkStart w:id="105" w:name="_Toc16428"/>
      <w:r>
        <w:rPr>
          <w:rFonts w:hint="eastAsia" w:ascii="Times New Roman" w:hAnsi="Times New Roman" w:eastAsia="仿宋" w:cs="Times New Roman"/>
          <w:b/>
          <w:bCs/>
          <w:color w:val="auto"/>
          <w:spacing w:val="5"/>
          <w:sz w:val="32"/>
          <w:szCs w:val="32"/>
          <w:highlight w:val="none"/>
          <w:lang w:val="en-US" w:eastAsia="zh-CN"/>
        </w:rPr>
        <w:t>2.提高水资源利用效率。</w:t>
      </w:r>
      <w:bookmarkEnd w:id="105"/>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强化水资源利用考核。加强水资源开发利用控制红线管理，落实最严格水资源管理制度，严格取水许可。全面落实水资源总量指标管理，遏制对水资源的过度、无序开发。强化水资源统一调度，深化流域水资源统一调度协商工作机制，统筹生活、生产和生态用水需求，加强流域干支流水库、水电站枢纽等重要取用水工程的调度管理。实施用水全过程管理，加强相关规划和项目建设布局的水资源论证工作，建立与水资源承载力相适应的经济结构体系及经济社会发展布局。加大非常规水源利用，将再生水、雨水、中水纳入水资源统一配置。到2025年，全市万元国内生产总值用水量、万元工业增加值用水量下降5%。提高农业用水利用率。推进适水种植、量水生产，建立与水资源条件相适应的节水高效农作制度。持续加强农业节水，推动农村生活污水、畜禽粪污就近就地资源化利用，鼓励渔业养殖尾水循环利用。优化农业种植结构，推进灌区渠系防渗改造，推广管道输水、喷灌、滴灌、微灌等高效节水技术。加快实施高标准农田建设和农村机电提灌设施建设工程，形成“蓄、保、集、节、用”一体化的节水农业新格局。到2025年，策勒县农业灌溉水利用系数平均值达到0.591，节水灌溉面积达到16.545万亩，农业毛用水定额690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val="en-US" w:eastAsia="zh-CN"/>
        </w:rPr>
        <w:t>/亩。</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加快工业节水能力建设。统筹企业和园区供排水、水处理及循环利用设施建设，推动企业间用水系统集成优化。以水定产，加强高耗水行业用水定额管理。实施重点用水企业和用水大户节水改造，积极推广高效冷却、洗涤、循环用水、废污水再生利用、高耗水生产工艺替代等节水工艺和技术。开展煤化工高耗水行业生产工艺节水改造，降低单位产品用水量。开展企业用水审计、水效对标和节水改造，推进企业内部工业用水循环利用，提高重复利用率，地方和重点用水企业逐步搭建工业废水循环利用智慧管理平台。积极构建有利于水循环的园区产业体系，推进园区开展以节水为重点内容的绿色高质量转型升级和循环化改造。到2025年，万元工业增加值达到117.5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val="en-US" w:eastAsia="zh-CN"/>
        </w:rPr>
        <w:t>/万元。</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推进节水型社会建设。全面开展节水型社会达标建设，到2025年，各乡镇完成节水型社会达标建设。2025年，全县平均污水再生利用率达到85%以上。</w:t>
      </w:r>
    </w:p>
    <w:p>
      <w:pPr>
        <w:keepNext/>
        <w:keepLines w:val="0"/>
        <w:pageBreakBefore w:val="0"/>
        <w:widowControl w:val="0"/>
        <w:kinsoku/>
        <w:wordWrap/>
        <w:overflowPunct/>
        <w:topLinePunct w:val="0"/>
        <w:autoSpaceDE/>
        <w:autoSpaceDN/>
        <w:bidi w:val="0"/>
        <w:adjustRightInd w:val="0"/>
        <w:snapToGrid w:val="0"/>
        <w:spacing w:line="360" w:lineRule="auto"/>
        <w:ind w:left="0" w:leftChars="0" w:firstLine="643" w:firstLineChars="200"/>
        <w:textAlignment w:val="auto"/>
        <w:outlineLvl w:val="1"/>
        <w:rPr>
          <w:rFonts w:hint="eastAsia"/>
          <w:b/>
          <w:bCs/>
          <w:color w:val="auto"/>
          <w:sz w:val="32"/>
          <w:szCs w:val="32"/>
          <w:highlight w:val="none"/>
          <w:lang w:val="en-US" w:eastAsia="zh-CN"/>
        </w:rPr>
      </w:pPr>
      <w:bookmarkStart w:id="106" w:name="_Toc15255"/>
      <w:bookmarkStart w:id="107" w:name="_Toc3634"/>
      <w:bookmarkStart w:id="108" w:name="_Toc21337"/>
      <w:bookmarkStart w:id="109" w:name="_Toc14802"/>
      <w:r>
        <w:rPr>
          <w:rFonts w:hint="eastAsia"/>
          <w:b/>
          <w:bCs/>
          <w:color w:val="auto"/>
          <w:sz w:val="32"/>
          <w:szCs w:val="32"/>
          <w:highlight w:val="none"/>
          <w:lang w:val="en-US" w:eastAsia="zh-CN"/>
        </w:rPr>
        <w:t>（五）防范流域环境风险，营造水生态安全屏障</w:t>
      </w:r>
      <w:bookmarkEnd w:id="106"/>
      <w:bookmarkEnd w:id="107"/>
      <w:bookmarkEnd w:id="108"/>
      <w:bookmarkEnd w:id="109"/>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提升环境风险应急能力。建立完善市、县应急监测网络，市级监测中心的应急监测仪器设备要分别满足应对“国家突发环境事件应急预案”中界定的Ⅱ级、Ⅲ（Ⅳ）级突发性污染事故的要求。加强环境应急预案编制与备案管理，在不同行业、不同领域定期开展预案评估，完成沿江涉危、涉重企业与政府突发环境事件的应急预案修编，推动集中式饮用水水源等突发水环境事件应急预案编制。强化应急协调联动机制建设，充分发挥河湖长制作用，建立研判预警、共同防范、互通信息、联合监测、协同处置的跨部门、跨区域、跨流域应急协调联动机制，建立流域突发环境事件监控预警与应急平台。加强危化品和危险废物运输环境安全管理，探索建立危化品运输车辆、船舶信息管理平台。以联合培训演练等多种手段，加强公安、消防、水利、交通运输、应急管理、生态环境等部门的应急联动。</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强化应急协调联动机制。强化环境风险指挥体系建设，加强环境应急协调，推动落实流域上下游联防联控机制，建立跨界河流应急管理预案。加强工园区的环境风险应急联动，加强跨区域、跨部门的应急联动和协同处置能力。</w:t>
      </w:r>
    </w:p>
    <w:p>
      <w:pPr>
        <w:pStyle w:val="20"/>
        <w:spacing w:line="360" w:lineRule="auto"/>
        <w:rPr>
          <w:rFonts w:hint="eastAsia" w:eastAsia="黑体"/>
          <w:b w:val="0"/>
          <w:color w:val="auto"/>
          <w:highlight w:val="none"/>
        </w:rPr>
      </w:pPr>
    </w:p>
    <w:p>
      <w:pPr>
        <w:pStyle w:val="20"/>
        <w:spacing w:line="360" w:lineRule="auto"/>
        <w:rPr>
          <w:rFonts w:hint="eastAsia" w:eastAsia="黑体"/>
          <w:b w:val="0"/>
          <w:color w:val="auto"/>
          <w:highlight w:val="none"/>
        </w:rPr>
      </w:pPr>
    </w:p>
    <w:p>
      <w:pPr>
        <w:spacing w:line="360" w:lineRule="auto"/>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widowControl/>
        <w:kinsoku w:val="0"/>
        <w:autoSpaceDE w:val="0"/>
        <w:autoSpaceDN w:val="0"/>
        <w:spacing w:before="283" w:line="360" w:lineRule="auto"/>
        <w:ind w:left="0" w:leftChars="0" w:firstLine="0" w:firstLineChars="0"/>
        <w:jc w:val="left"/>
        <w:textAlignment w:val="baseline"/>
        <w:outlineLvl w:val="0"/>
        <w:rPr>
          <w:rFonts w:ascii="黑体" w:hAnsi="黑体" w:eastAsia="黑体" w:cs="黑体"/>
          <w:snapToGrid w:val="0"/>
          <w:color w:val="auto"/>
          <w:spacing w:val="1"/>
          <w:kern w:val="0"/>
          <w:sz w:val="32"/>
          <w:szCs w:val="32"/>
          <w:highlight w:val="none"/>
          <w14:textOutline w14:w="5793" w14:cap="sq" w14:cmpd="sng">
            <w14:solidFill>
              <w14:srgbClr w14:val="000000"/>
            </w14:solidFill>
            <w14:prstDash w14:val="solid"/>
            <w14:bevel/>
          </w14:textOutline>
        </w:rPr>
      </w:pPr>
      <w:bookmarkStart w:id="110" w:name="_Toc16625"/>
      <w:bookmarkStart w:id="111" w:name="_Toc12462"/>
      <w:bookmarkStart w:id="112" w:name="_Toc24842"/>
      <w:bookmarkStart w:id="113" w:name="_Toc2558"/>
      <w:r>
        <w:rPr>
          <w:rFonts w:hint="eastAsia" w:ascii="黑体" w:hAnsi="黑体" w:eastAsia="黑体" w:cs="黑体"/>
          <w:snapToGrid w:val="0"/>
          <w:color w:val="auto"/>
          <w:spacing w:val="1"/>
          <w:kern w:val="0"/>
          <w:sz w:val="32"/>
          <w:szCs w:val="32"/>
          <w:highlight w:val="none"/>
          <w:lang w:eastAsia="zh-CN"/>
          <w14:textOutline w14:w="5793" w14:cap="sq" w14:cmpd="sng">
            <w14:solidFill>
              <w14:srgbClr w14:val="000000"/>
            </w14:solidFill>
            <w14:prstDash w14:val="solid"/>
            <w14:bevel/>
          </w14:textOutline>
        </w:rPr>
        <w:t>四、</w:t>
      </w:r>
      <w:r>
        <w:rPr>
          <w:rFonts w:ascii="黑体" w:hAnsi="黑体" w:eastAsia="黑体" w:cs="黑体"/>
          <w:snapToGrid w:val="0"/>
          <w:color w:val="auto"/>
          <w:spacing w:val="1"/>
          <w:kern w:val="0"/>
          <w:sz w:val="32"/>
          <w:szCs w:val="32"/>
          <w:highlight w:val="none"/>
          <w14:textOutline w14:w="5793" w14:cap="sq" w14:cmpd="sng">
            <w14:solidFill>
              <w14:srgbClr w14:val="000000"/>
            </w14:solidFill>
            <w14:prstDash w14:val="solid"/>
            <w14:bevel/>
          </w14:textOutline>
        </w:rPr>
        <w:fldChar w:fldCharType="begin"/>
      </w:r>
      <w:r>
        <w:rPr>
          <w:rFonts w:ascii="黑体" w:hAnsi="黑体" w:eastAsia="黑体" w:cs="黑体"/>
          <w:snapToGrid w:val="0"/>
          <w:color w:val="auto"/>
          <w:spacing w:val="1"/>
          <w:kern w:val="0"/>
          <w:sz w:val="32"/>
          <w:szCs w:val="32"/>
          <w:highlight w:val="none"/>
          <w14:textOutline w14:w="5793" w14:cap="sq" w14:cmpd="sng">
            <w14:solidFill>
              <w14:srgbClr w14:val="000000"/>
            </w14:solidFill>
            <w14:prstDash w14:val="solid"/>
            <w14:bevel/>
          </w14:textOutline>
        </w:rPr>
        <w:instrText xml:space="preserve"> HYPERLINK \l _Toc29662 </w:instrText>
      </w:r>
      <w:r>
        <w:rPr>
          <w:rFonts w:ascii="黑体" w:hAnsi="黑体" w:eastAsia="黑体" w:cs="黑体"/>
          <w:snapToGrid w:val="0"/>
          <w:color w:val="auto"/>
          <w:spacing w:val="1"/>
          <w:kern w:val="0"/>
          <w:sz w:val="32"/>
          <w:szCs w:val="32"/>
          <w:highlight w:val="none"/>
          <w14:textOutline w14:w="5793" w14:cap="sq" w14:cmpd="sng">
            <w14:solidFill>
              <w14:srgbClr w14:val="000000"/>
            </w14:solidFill>
            <w14:prstDash w14:val="solid"/>
            <w14:bevel/>
          </w14:textOutline>
        </w:rPr>
        <w:fldChar w:fldCharType="separate"/>
      </w:r>
      <w:r>
        <w:rPr>
          <w:rFonts w:hint="eastAsia" w:ascii="黑体" w:hAnsi="黑体" w:eastAsia="黑体" w:cs="黑体"/>
          <w:snapToGrid w:val="0"/>
          <w:color w:val="auto"/>
          <w:spacing w:val="1"/>
          <w:kern w:val="0"/>
          <w:sz w:val="32"/>
          <w:szCs w:val="32"/>
          <w:highlight w:val="none"/>
          <w:lang w:eastAsia="zh-CN"/>
          <w14:textOutline w14:w="5793" w14:cap="sq" w14:cmpd="sng">
            <w14:solidFill>
              <w14:srgbClr w14:val="000000"/>
            </w14:solidFill>
            <w14:prstDash w14:val="solid"/>
            <w14:bevel/>
          </w14:textOutline>
        </w:rPr>
        <w:t>重点河流水环境</w:t>
      </w:r>
      <w:r>
        <w:rPr>
          <w:rFonts w:hint="eastAsia" w:ascii="黑体" w:hAnsi="黑体" w:eastAsia="黑体" w:cs="黑体"/>
          <w:snapToGrid w:val="0"/>
          <w:color w:val="auto"/>
          <w:spacing w:val="1"/>
          <w:kern w:val="0"/>
          <w:sz w:val="32"/>
          <w:szCs w:val="32"/>
          <w:highlight w:val="none"/>
          <w14:textOutline w14:w="5793" w14:cap="sq" w14:cmpd="sng">
            <w14:solidFill>
              <w14:srgbClr w14:val="000000"/>
            </w14:solidFill>
            <w14:prstDash w14:val="solid"/>
            <w14:bevel/>
          </w14:textOutline>
        </w:rPr>
        <w:t>保护方案</w:t>
      </w:r>
      <w:r>
        <w:rPr>
          <w:rFonts w:ascii="黑体" w:hAnsi="黑体" w:eastAsia="黑体" w:cs="黑体"/>
          <w:snapToGrid w:val="0"/>
          <w:color w:val="auto"/>
          <w:spacing w:val="1"/>
          <w:kern w:val="0"/>
          <w:sz w:val="32"/>
          <w:szCs w:val="32"/>
          <w:highlight w:val="none"/>
          <w14:textOutline w14:w="5793" w14:cap="sq" w14:cmpd="sng">
            <w14:solidFill>
              <w14:srgbClr w14:val="000000"/>
            </w14:solidFill>
            <w14:prstDash w14:val="solid"/>
            <w14:bevel/>
          </w14:textOutline>
        </w:rPr>
        <w:fldChar w:fldCharType="end"/>
      </w:r>
      <w:bookmarkEnd w:id="110"/>
      <w:bookmarkEnd w:id="111"/>
      <w:bookmarkEnd w:id="112"/>
      <w:bookmarkEnd w:id="113"/>
    </w:p>
    <w:p>
      <w:pPr>
        <w:spacing w:before="244" w:line="360" w:lineRule="auto"/>
        <w:outlineLvl w:val="1"/>
        <w:rPr>
          <w:rFonts w:hint="eastAsia" w:ascii="楷体" w:hAnsi="楷体" w:eastAsia="楷体" w:cs="楷体"/>
          <w:color w:val="auto"/>
          <w:spacing w:val="25"/>
          <w:sz w:val="32"/>
          <w:szCs w:val="32"/>
          <w:highlight w:val="none"/>
          <w:lang w:val="en-US" w:eastAsia="zh-CN"/>
          <w14:textOutline w14:w="5793" w14:cap="sq" w14:cmpd="sng">
            <w14:solidFill>
              <w14:srgbClr w14:val="000000"/>
            </w14:solidFill>
            <w14:prstDash w14:val="solid"/>
            <w14:bevel/>
          </w14:textOutline>
        </w:rPr>
      </w:pPr>
      <w:bookmarkStart w:id="114" w:name="_Toc8849"/>
      <w:bookmarkStart w:id="115" w:name="_Toc18050"/>
      <w:bookmarkStart w:id="116" w:name="_Toc16177"/>
      <w:bookmarkStart w:id="117" w:name="_Toc18215"/>
      <w:r>
        <w:rPr>
          <w:rFonts w:hint="eastAsia" w:ascii="楷体" w:hAnsi="楷体" w:eastAsia="楷体" w:cs="楷体"/>
          <w:color w:val="auto"/>
          <w:spacing w:val="25"/>
          <w:sz w:val="32"/>
          <w:szCs w:val="32"/>
          <w:highlight w:val="none"/>
          <w:lang w:val="en-US" w:eastAsia="zh-CN"/>
          <w14:textOutline w14:w="5793" w14:cap="sq" w14:cmpd="sng">
            <w14:solidFill>
              <w14:srgbClr w14:val="000000"/>
            </w14:solidFill>
            <w14:prstDash w14:val="solid"/>
            <w14:bevel/>
          </w14:textOutline>
        </w:rPr>
        <w:t>（一）</w:t>
      </w:r>
      <w:bookmarkEnd w:id="114"/>
      <w:bookmarkEnd w:id="115"/>
      <w:bookmarkEnd w:id="116"/>
      <w:r>
        <w:rPr>
          <w:rFonts w:hint="eastAsia" w:ascii="楷体" w:hAnsi="楷体" w:eastAsia="楷体" w:cs="楷体"/>
          <w:color w:val="auto"/>
          <w:spacing w:val="25"/>
          <w:sz w:val="32"/>
          <w:szCs w:val="32"/>
          <w:highlight w:val="none"/>
          <w:lang w:val="en-US" w:eastAsia="zh-CN"/>
          <w14:textOutline w14:w="5793" w14:cap="sq" w14:cmpd="sng">
            <w14:solidFill>
              <w14:srgbClr w14:val="000000"/>
            </w14:solidFill>
            <w14:prstDash w14:val="solid"/>
            <w14:bevel/>
          </w14:textOutline>
        </w:rPr>
        <w:t>策勒河</w:t>
      </w:r>
      <w:bookmarkEnd w:id="117"/>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划分策勒河流域水功能区、水土保持功能区，为规范开发秩序、强化保护措施、加强流域管理提供了基础依据。同时，研究提出了用水总量及用水效率控制指标、控制断面生态基流、控制断面水质管理目标、防洪标准等重要控制性指标。这些控制指标是保障供水及生态安全的重要保证。</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加强防洪综合措施建设，完善防洪减灾体系策勒河流域在现有防洪布局的基础上，进一步加强河道整治、堤防及水库建设，完善防洪及山洪灾害防治非工程措施，健全流域防洪减灾体系。</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河道整治以控制和改善河势、稳定岸线、增大泄流能力为主要目标。策勒河流域河道整治对提高沿岸重点村庄安全泄量，减少其他防洪措施规模作用明显，应按照轻重缓急、分步实施。严禁在行洪区内乱占、乱倒、乱采砂石；河沟中下游河段采取清淤疏浚、扩卡等措施治理河道，并加强崩岸严重特别是城镇段崩岸的整治，以保证行洪畅通。</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完善水污染防治及生态保护措施，建立水资源与水生态环境保护体系为促进人与自然和谐共处，在保护策勒河流域现有水环境质量、水生生境和生物多样性的基础上，改善受污染水体水质，建立良性循环的水资源及水生态环境保护体系。</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水资源保护以促进水环境良性循环为目标。针对水资源状况，完善水功能区划，并按两级水功能区划分。一级水功能区划主要是解决地区之间的用水矛盾，二级区划主要是解决部门之间的用水矛盾。近期加快建设与改造流域内污水、垃圾处理设施，加强入河排污总量控制，并建立和完善水污染事件快速反应机制及应急处理预案。</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水生态环境保护以维护生物的多样性和完整性为目标。因地制宜开展生态修复，进一步完善水生态环境管理措，重点实施重点河段水生态修复、生态环境需水量配置。</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水土保持以维护优良生态和改善人民群众生产生活条件为目标。根据划定的预防保护区、综合治理区，分类实施预防保护和治理。在河沿岸侵蚀区治理措施主要为荒坡地治理、沟道整治采取谷坊、拦沙坝、疏浚、截流沟、种植经济林草等措施，绿洲平原区采取对河岸进行护坡，防止水蚀侵蚀农田，建设农田防护林，冲积平原荒漠严重侵蚀区采取对天然草场进行改良，围栏草场，灌区边缘的沙丘地种植防风固沙林进行治理。</w:t>
      </w:r>
    </w:p>
    <w:p>
      <w:pPr>
        <w:pStyle w:val="20"/>
        <w:keepNext w:val="0"/>
        <w:keepLines w:val="0"/>
        <w:pageBreakBefore w:val="0"/>
        <w:widowControl w:val="0"/>
        <w:kinsoku/>
        <w:wordWrap/>
        <w:overflowPunct/>
        <w:topLinePunct w:val="0"/>
        <w:autoSpaceDE/>
        <w:autoSpaceDN/>
        <w:bidi w:val="0"/>
        <w:adjustRightInd w:val="0"/>
        <w:snapToGrid w:val="0"/>
        <w:ind w:left="0"/>
        <w:textAlignment w:val="auto"/>
        <w:outlineLvl w:val="1"/>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pPr>
      <w:bookmarkStart w:id="118" w:name="_Toc1697"/>
      <w:bookmarkStart w:id="119" w:name="_Toc993"/>
      <w:bookmarkStart w:id="120" w:name="_Toc12366"/>
      <w:bookmarkStart w:id="121" w:name="_Toc16950"/>
      <w:r>
        <w:rPr>
          <w:rFonts w:hint="eastAsia" w:ascii="楷体" w:hAnsi="楷体" w:eastAsia="楷体" w:cs="楷体"/>
          <w:color w:val="auto"/>
          <w:spacing w:val="25"/>
          <w:kern w:val="2"/>
          <w:sz w:val="31"/>
          <w:szCs w:val="31"/>
          <w:highlight w:val="none"/>
          <w:lang w:val="en-US" w:eastAsia="zh-CN" w:bidi="ar-SA"/>
          <w14:textOutline w14:w="5793" w14:cap="sq" w14:cmpd="sng">
            <w14:solidFill>
              <w14:srgbClr w14:val="000000"/>
            </w14:solidFill>
            <w14:prstDash w14:val="solid"/>
            <w14:bevel/>
          </w14:textOutline>
        </w:rPr>
        <w:t>（二）</w:t>
      </w:r>
      <w:bookmarkEnd w:id="118"/>
      <w:bookmarkEnd w:id="119"/>
      <w:bookmarkEnd w:id="120"/>
      <w:r>
        <w:rPr>
          <w:rFonts w:hint="eastAsia" w:ascii="楷体" w:hAnsi="楷体" w:eastAsia="楷体" w:cs="楷体"/>
          <w:color w:val="auto"/>
          <w:spacing w:val="25"/>
          <w:kern w:val="2"/>
          <w:sz w:val="31"/>
          <w:szCs w:val="31"/>
          <w:highlight w:val="none"/>
          <w:lang w:val="en-US" w:eastAsia="zh-CN" w:bidi="ar-SA"/>
          <w14:textOutline w14:w="5793" w14:cap="sq" w14:cmpd="sng">
            <w14:solidFill>
              <w14:srgbClr w14:val="000000"/>
            </w14:solidFill>
            <w14:prstDash w14:val="solid"/>
            <w14:bevel/>
          </w14:textOutline>
        </w:rPr>
        <w:t>努尔河</w:t>
      </w:r>
      <w:bookmarkEnd w:id="121"/>
    </w:p>
    <w:p>
      <w:pPr>
        <w:pStyle w:val="37"/>
        <w:spacing w:line="360" w:lineRule="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严格落实新疆维吾尔自治区最严格水资源管理制度“三条红线”的要求，加强奴尔河战斗渠渠首取水口水量监测监控监管；加快奴尔河灌区农田水利规划体系，加强对农田水利建设的统一规划、组织引导和监督协调。坚持挖潜改造与新建扩建相结合，加大农田水利骨干工程建设力度。对奴尔河中型灌区实施水利骨干工程更新改造。</w:t>
      </w:r>
    </w:p>
    <w:p>
      <w:pPr>
        <w:pStyle w:val="37"/>
        <w:spacing w:line="360" w:lineRule="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实施高效节水技术，加强节约用水宣传，加强河道取用水量与效率控制。对奴尔下游实施高效节水技术，加强节约用水宣传，加强河道取用水量与效率控制。</w:t>
      </w:r>
    </w:p>
    <w:p>
      <w:pPr>
        <w:pStyle w:val="37"/>
        <w:spacing w:line="360" w:lineRule="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奴尔河流经固拉哈玛镇、达玛沟乡和奴尔乡。策勒县是一个一农业作业生产为支撑的农业县，沿河没有任何工业废水排入。且奴尔河是一条季节性河流，不适合在河道内进行水产养殖。</w:t>
      </w:r>
    </w:p>
    <w:p>
      <w:pPr>
        <w:pStyle w:val="37"/>
        <w:spacing w:line="360" w:lineRule="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奴尔河水生态修复主要是对奴尔河下游河道进行清淤疏浚。由于奴尔河水质携砂量较大，下游河道纵坡较缓，导致泥沙大量淤积在河床下游，下游河床抬高，严重影响了周边耕地及居民的生产生活安全。对河下游进行清淤疏浚，改善水生态。</w:t>
      </w:r>
    </w:p>
    <w:p>
      <w:pPr>
        <w:pStyle w:val="37"/>
        <w:spacing w:line="360" w:lineRule="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推进河库生态修复和保护，禁止侵占自然河库、湿地等水源涵养空间。在规划的基础上稳步恢复河库水系的自然连通，加强水生生物资源养护，提高水生生物多样性</w:t>
      </w:r>
      <w:r>
        <w:rPr>
          <w:rFonts w:hint="eastAsia" w:ascii="仿宋_GB2312" w:hAnsi="仿宋_GB2312" w:eastAsia="仿宋_GB2312" w:cs="仿宋_GB2312"/>
          <w:color w:val="auto"/>
          <w:kern w:val="2"/>
          <w:sz w:val="32"/>
          <w:szCs w:val="32"/>
          <w:highlight w:val="none"/>
          <w:lang w:val="en-US" w:eastAsia="zh-CN" w:bidi="ar-SA"/>
        </w:rPr>
        <w:t>。</w:t>
      </w:r>
    </w:p>
    <w:p>
      <w:pPr>
        <w:spacing w:before="244" w:line="360" w:lineRule="auto"/>
        <w:outlineLvl w:val="1"/>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pPr>
      <w:bookmarkStart w:id="122" w:name="_Toc18371"/>
      <w:bookmarkStart w:id="123" w:name="_Toc12972"/>
      <w:bookmarkStart w:id="124" w:name="_Toc31671"/>
      <w:bookmarkStart w:id="125" w:name="_Toc30689"/>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t>（三）</w:t>
      </w:r>
      <w:bookmarkEnd w:id="122"/>
      <w:bookmarkEnd w:id="123"/>
      <w:bookmarkEnd w:id="124"/>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t>恰恰河</w:t>
      </w:r>
      <w:bookmarkEnd w:id="125"/>
    </w:p>
    <w:p>
      <w:pPr>
        <w:pStyle w:val="37"/>
        <w:spacing w:line="360" w:lineRule="auto"/>
        <w:rPr>
          <w:rFonts w:hint="eastAsia" w:ascii="仿宋_GB2312" w:hAnsi="仿宋_GB2312" w:eastAsia="仿宋_GB2312" w:cs="仿宋_GB2312"/>
          <w:color w:val="auto"/>
          <w:sz w:val="32"/>
          <w:szCs w:val="32"/>
          <w:highlight w:val="none"/>
          <w:lang w:val="en-US" w:eastAsia="zh-CN"/>
        </w:rPr>
      </w:pPr>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t xml:space="preserve"> </w:t>
      </w:r>
      <w:r>
        <w:rPr>
          <w:rFonts w:hint="eastAsia" w:ascii="仿宋_GB2312" w:hAnsi="仿宋_GB2312" w:eastAsia="仿宋_GB2312" w:cs="仿宋_GB2312"/>
          <w:color w:val="auto"/>
          <w:sz w:val="32"/>
          <w:szCs w:val="32"/>
          <w:highlight w:val="none"/>
          <w:lang w:val="en-US" w:eastAsia="zh-CN"/>
        </w:rPr>
        <w:t>水污染防治</w:t>
      </w:r>
    </w:p>
    <w:p>
      <w:pPr>
        <w:pStyle w:val="37"/>
        <w:spacing w:line="360" w:lineRule="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恰哈河流经恰哈乡、策勒乡镇和固拉哈玛镇乡。策勒县是一个一农业作业生产为支撑的农业县，沿河没有任何工业废水排入。且恰哈河是一条季节性河流，不适合在河道内进行水产养殖。全面贯彻国务院《水污染防治行动计划》，加强工矿企业污染、城镇生活污染、畜禽养殖污染、农业面源污染及船舶污染防治，落实部门职责，分头推进防治措施。加强河湖跨界断面、主要交汇处、重点水域的水量水质水环境监测，强化突发水污染处置应急监测。统一技术要求和标准，统筹建设与管理，建立体系统一、布局合理、功能完善的河湖监管网络，按照统一的标准规范开展水质水量监测和评价，按规定发布有关监测成果。建立水质恶化倒查机制，追溯污染来源，严格落实整治责任和限期整改措施。</w:t>
      </w:r>
    </w:p>
    <w:p>
      <w:pPr>
        <w:pStyle w:val="37"/>
        <w:spacing w:line="360" w:lineRule="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水环境治理</w:t>
      </w:r>
    </w:p>
    <w:p>
      <w:pPr>
        <w:pStyle w:val="37"/>
        <w:spacing w:line="360" w:lineRule="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加大对城镇及农村生活饮水改造力度，对饮用水水源地实施相应的保护措施，加强村镇居民节约用水宣传，推动农村水环境综合治理。加强河源头、重要水源涵养地水环境保护，划定禁止开发范围，实现河源头保护区污水“零排放”。加快水源涵养林建设，全面保护天然林，提高森林蓄积量。依法划定饮用水水源保护区，禁止在水源保护区内开展一切与水源保护无关的活动。强化饮用水水源应急管理，建立与完善饮用水水源地突发事件应急预案。</w:t>
      </w:r>
    </w:p>
    <w:p>
      <w:pPr>
        <w:pStyle w:val="37"/>
        <w:spacing w:line="360" w:lineRule="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水生态修复</w:t>
      </w:r>
    </w:p>
    <w:p>
      <w:pPr>
        <w:pStyle w:val="37"/>
        <w:spacing w:line="360" w:lineRule="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加强布藏湿地修复与保护，维护湿地生态系统完整，改善河湖生态环境。连通河湖水系，保证河流生态基流和湖泊最低水位。加快城乡水环境整治，实施农村清洁工程，大力推进生态乡镇、生态村和美丽乡村创建活动。落实生产项目水土保持“三同时”制度，加大水土流失综合治理、生态修复力度和生态清洁型小流域治理，推进水环境自然修复保护。</w:t>
      </w:r>
    </w:p>
    <w:p>
      <w:pPr>
        <w:spacing w:before="244" w:line="360" w:lineRule="auto"/>
        <w:outlineLvl w:val="1"/>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pPr>
      <w:bookmarkStart w:id="126" w:name="_Toc12940"/>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t>（四）乌鲁克萨依河</w:t>
      </w:r>
      <w:bookmarkEnd w:id="126"/>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水污染防治</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乌鲁克萨依河流经固拉哈玛镇、乌鲁克萨依乡和策勒镇乡。策勒县是一个一农业作业生产为支撑的农业县，沿河没有任何工业废水排入。且乌鲁克萨依河是一条季节性河流，不适合在河道内进行水产养殖。</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水环境治理</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加大对城镇及农村生活饮水改造力度，对饮用水水源地实施相应的保护措施，加强村镇居民节约用水宣传，推动农村水环境综合治理，提供乡镇垃圾和畜禽养殖污染物的收集与处理率，科学施用化肥、农药，逐步减少非点源污染物入河量。</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水生态修复</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乌鲁克萨依河水生态修复主要是对乌鲁克萨依河下游河道进行清淤疏浚。由于乌鲁克萨依河水质携砂量较大，下游河道纵坡较缓，导致泥沙大量淤积在河床下游，下游河床抬高，严重影响了周边耕地及居民的生产生活安全。坚持生态优先、绿色发展的原则，结合水资源配置、防洪、排涝、灌溉设施建设，加强闸坝优化调度和水域管理，恢复和保障河湖基本生态用水，维护河湖水生态良性发展和健康生命，防止水土流失。县水利局、环保局应加强河流健康评估，对河道淤积处进行清理，保持河道的畅通和生态基流，加强源头保护，推进水土保持监督管理，加强河库水量调度管理，发挥水对流域的生态环境功能。</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p>
    <w:p>
      <w:pPr>
        <w:keepNext w:val="0"/>
        <w:keepLines w:val="0"/>
        <w:widowControl/>
        <w:suppressLineNumbers w:val="0"/>
        <w:jc w:val="left"/>
        <w:rPr>
          <w:color w:val="auto"/>
          <w:highlight w:val="none"/>
        </w:rPr>
      </w:pPr>
    </w:p>
    <w:p>
      <w:pPr>
        <w:keepNext w:val="0"/>
        <w:keepLines w:val="0"/>
        <w:widowControl/>
        <w:suppressLineNumbers w:val="0"/>
        <w:ind w:left="0" w:leftChars="0" w:firstLine="0" w:firstLineChars="0"/>
        <w:jc w:val="left"/>
        <w:rPr>
          <w:color w:val="auto"/>
          <w:highlight w:val="none"/>
        </w:rPr>
      </w:pPr>
    </w:p>
    <w:p>
      <w:pPr>
        <w:pStyle w:val="20"/>
        <w:rPr>
          <w:rFonts w:hint="eastAsia" w:ascii="Times New Roman" w:hAnsi="Times New Roman" w:eastAsia="仿宋" w:cs="Times New Roman"/>
          <w:color w:val="auto"/>
          <w:sz w:val="31"/>
          <w:szCs w:val="31"/>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numPr>
          <w:ilvl w:val="0"/>
          <w:numId w:val="3"/>
        </w:numPr>
        <w:spacing w:before="65" w:line="360" w:lineRule="auto"/>
        <w:ind w:left="0" w:leftChars="0" w:firstLine="0" w:firstLineChars="0"/>
        <w:outlineLvl w:val="0"/>
        <w:rPr>
          <w:rFonts w:hint="eastAsia" w:ascii="黑体" w:hAnsi="黑体" w:eastAsia="黑体" w:cs="黑体"/>
          <w:color w:val="auto"/>
          <w:spacing w:val="7"/>
          <w:sz w:val="31"/>
          <w:szCs w:val="31"/>
          <w:highlight w:val="none"/>
          <w14:textOutline w14:w="5793" w14:cap="sq" w14:cmpd="sng">
            <w14:solidFill>
              <w14:srgbClr w14:val="000000"/>
            </w14:solidFill>
            <w14:prstDash w14:val="solid"/>
            <w14:bevel/>
          </w14:textOutline>
        </w:rPr>
      </w:pPr>
      <w:bookmarkStart w:id="127" w:name="_Toc16681"/>
      <w:bookmarkStart w:id="128" w:name="_Toc22663"/>
      <w:bookmarkStart w:id="129" w:name="_Toc16116"/>
      <w:bookmarkStart w:id="130" w:name="_Toc16082"/>
      <w:r>
        <w:rPr>
          <w:rFonts w:hint="eastAsia" w:ascii="黑体" w:hAnsi="黑体" w:eastAsia="黑体" w:cs="黑体"/>
          <w:color w:val="auto"/>
          <w:spacing w:val="7"/>
          <w:sz w:val="31"/>
          <w:szCs w:val="31"/>
          <w:highlight w:val="none"/>
          <w14:textOutline w14:w="5793" w14:cap="sq" w14:cmpd="sng">
            <w14:solidFill>
              <w14:srgbClr w14:val="000000"/>
            </w14:solidFill>
            <w14:prstDash w14:val="solid"/>
            <w14:bevel/>
          </w14:textOutline>
        </w:rPr>
        <w:fldChar w:fldCharType="begin"/>
      </w:r>
      <w:r>
        <w:rPr>
          <w:rFonts w:hint="eastAsia" w:ascii="黑体" w:hAnsi="黑体" w:eastAsia="黑体" w:cs="黑体"/>
          <w:color w:val="auto"/>
          <w:spacing w:val="7"/>
          <w:sz w:val="31"/>
          <w:szCs w:val="31"/>
          <w:highlight w:val="none"/>
          <w14:textOutline w14:w="5793" w14:cap="sq" w14:cmpd="sng">
            <w14:solidFill>
              <w14:srgbClr w14:val="000000"/>
            </w14:solidFill>
            <w14:prstDash w14:val="solid"/>
            <w14:bevel/>
          </w14:textOutline>
        </w:rPr>
        <w:instrText xml:space="preserve"> HYPERLINK \l _Toc32739 </w:instrText>
      </w:r>
      <w:r>
        <w:rPr>
          <w:rFonts w:hint="eastAsia" w:ascii="黑体" w:hAnsi="黑体" w:eastAsia="黑体" w:cs="黑体"/>
          <w:color w:val="auto"/>
          <w:spacing w:val="7"/>
          <w:sz w:val="31"/>
          <w:szCs w:val="31"/>
          <w:highlight w:val="none"/>
          <w14:textOutline w14:w="5793" w14:cap="sq" w14:cmpd="sng">
            <w14:solidFill>
              <w14:srgbClr w14:val="000000"/>
            </w14:solidFill>
            <w14:prstDash w14:val="solid"/>
            <w14:bevel/>
          </w14:textOutline>
        </w:rPr>
        <w:fldChar w:fldCharType="separate"/>
      </w:r>
      <w:r>
        <w:rPr>
          <w:rFonts w:hint="eastAsia" w:ascii="黑体" w:hAnsi="黑体" w:eastAsia="黑体" w:cs="黑体"/>
          <w:color w:val="auto"/>
          <w:spacing w:val="7"/>
          <w:sz w:val="31"/>
          <w:szCs w:val="31"/>
          <w:highlight w:val="none"/>
          <w14:textOutline w14:w="5793" w14:cap="sq" w14:cmpd="sng">
            <w14:solidFill>
              <w14:srgbClr w14:val="000000"/>
            </w14:solidFill>
            <w14:prstDash w14:val="solid"/>
            <w14:bevel/>
          </w14:textOutline>
        </w:rPr>
        <w:t>工程项目及投资</w:t>
      </w:r>
      <w:r>
        <w:rPr>
          <w:rFonts w:hint="eastAsia" w:ascii="黑体" w:hAnsi="黑体" w:eastAsia="黑体" w:cs="黑体"/>
          <w:color w:val="auto"/>
          <w:spacing w:val="7"/>
          <w:sz w:val="31"/>
          <w:szCs w:val="31"/>
          <w:highlight w:val="none"/>
          <w14:textOutline w14:w="5793" w14:cap="sq" w14:cmpd="sng">
            <w14:solidFill>
              <w14:srgbClr w14:val="000000"/>
            </w14:solidFill>
            <w14:prstDash w14:val="solid"/>
            <w14:bevel/>
          </w14:textOutline>
        </w:rPr>
        <w:fldChar w:fldCharType="end"/>
      </w:r>
      <w:bookmarkEnd w:id="127"/>
      <w:bookmarkEnd w:id="128"/>
      <w:bookmarkEnd w:id="129"/>
      <w:bookmarkEnd w:id="130"/>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本次规划包括三方面：水环境质量重点工程、水生态重点工程、水资源重点工程，共计19个项目，合计5.58亿元。 </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其中水环境质量重点工程8项、3.96亿元，水生态重点工程9项1.39亿元、水资源重点工程2项、0.23亿元。</w:t>
      </w:r>
    </w:p>
    <w:p>
      <w:pPr>
        <w:keepNext w:val="0"/>
        <w:ind w:firstLine="0" w:firstLineChars="0"/>
        <w:jc w:val="center"/>
        <w:rPr>
          <w:rFonts w:ascii="黑体" w:hAnsi="黑体" w:eastAsia="黑体" w:cs="黑体"/>
          <w:color w:val="auto"/>
          <w:sz w:val="24"/>
          <w:szCs w:val="24"/>
          <w:highlight w:val="none"/>
          <w:lang w:val="zh-CN"/>
        </w:rPr>
      </w:pPr>
      <w:r>
        <w:rPr>
          <w:rFonts w:hint="eastAsia"/>
          <w:color w:val="auto"/>
          <w:highlight w:val="none"/>
          <w:lang w:val="en-US" w:eastAsia="zh-CN"/>
        </w:rPr>
        <w:t xml:space="preserve"> </w:t>
      </w:r>
      <w:r>
        <w:rPr>
          <w:rFonts w:hint="eastAsia" w:ascii="黑体" w:hAnsi="黑体" w:eastAsia="黑体" w:cs="黑体"/>
          <w:color w:val="auto"/>
          <w:sz w:val="24"/>
          <w:szCs w:val="24"/>
          <w:highlight w:val="none"/>
          <w:lang w:val="zh-CN"/>
        </w:rPr>
        <w:t>表</w:t>
      </w:r>
      <w:r>
        <w:rPr>
          <w:rFonts w:hint="eastAsia" w:ascii="黑体" w:hAnsi="黑体" w:eastAsia="黑体" w:cs="黑体"/>
          <w:color w:val="auto"/>
          <w:sz w:val="24"/>
          <w:szCs w:val="24"/>
          <w:highlight w:val="none"/>
          <w:lang w:val="en-US" w:eastAsia="zh-CN"/>
        </w:rPr>
        <w:t>5.1</w:t>
      </w: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val="en-US" w:eastAsia="zh-CN"/>
        </w:rPr>
        <w:t>1策勒县</w:t>
      </w:r>
      <w:r>
        <w:rPr>
          <w:rFonts w:hint="eastAsia" w:ascii="黑体" w:hAnsi="黑体" w:eastAsia="黑体" w:cs="黑体"/>
          <w:color w:val="auto"/>
          <w:sz w:val="24"/>
          <w:szCs w:val="24"/>
          <w:highlight w:val="none"/>
          <w:lang w:val="zh-CN"/>
        </w:rPr>
        <w:t>水环境质量重点工程</w:t>
      </w:r>
    </w:p>
    <w:tbl>
      <w:tblPr>
        <w:tblStyle w:val="26"/>
        <w:tblW w:w="84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694"/>
        <w:gridCol w:w="1419"/>
        <w:gridCol w:w="1623"/>
        <w:gridCol w:w="2333"/>
        <w:gridCol w:w="870"/>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3" w:hRule="atLeast"/>
          <w:tblHeader/>
          <w:jc w:val="center"/>
        </w:trPr>
        <w:tc>
          <w:tcPr>
            <w:tcW w:w="694" w:type="dxa"/>
            <w:noWrap w:val="0"/>
            <w:vAlign w:val="center"/>
          </w:tcPr>
          <w:p>
            <w:pPr>
              <w:pStyle w:val="20"/>
              <w:keepNext/>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仿宋" w:hAnsi="仿宋" w:eastAsia="仿宋" w:cs="仿宋"/>
                <w:color w:val="auto"/>
                <w:kern w:val="0"/>
                <w:sz w:val="22"/>
                <w:szCs w:val="22"/>
                <w:highlight w:val="none"/>
                <w:lang w:eastAsia="zh-CN"/>
              </w:rPr>
            </w:pPr>
            <w:r>
              <w:rPr>
                <w:rFonts w:hint="eastAsia"/>
                <w:color w:val="auto"/>
                <w:highlight w:val="none"/>
                <w:lang w:val="en-US" w:eastAsia="zh-CN"/>
              </w:rPr>
              <w:t xml:space="preserve">       </w:t>
            </w:r>
            <w:bookmarkStart w:id="131" w:name="_Toc20675"/>
            <w:bookmarkStart w:id="132" w:name="_Toc24515"/>
            <w:bookmarkStart w:id="133" w:name="_Toc15325"/>
            <w:r>
              <w:rPr>
                <w:rFonts w:hint="eastAsia" w:ascii="仿宋" w:hAnsi="仿宋" w:eastAsia="仿宋" w:cs="仿宋"/>
                <w:color w:val="auto"/>
                <w:kern w:val="0"/>
                <w:sz w:val="22"/>
                <w:szCs w:val="22"/>
                <w:highlight w:val="none"/>
                <w:lang w:eastAsia="zh-CN"/>
              </w:rPr>
              <w:t>序号</w:t>
            </w:r>
          </w:p>
        </w:tc>
        <w:tc>
          <w:tcPr>
            <w:tcW w:w="694"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rPr>
            </w:pPr>
            <w:r>
              <w:rPr>
                <w:rFonts w:hint="default" w:ascii="仿宋" w:hAnsi="仿宋" w:eastAsia="仿宋" w:cs="仿宋"/>
                <w:color w:val="auto"/>
                <w:kern w:val="0"/>
                <w:sz w:val="22"/>
                <w:szCs w:val="22"/>
                <w:highlight w:val="none"/>
              </w:rPr>
              <w:t>工程类别</w:t>
            </w:r>
          </w:p>
        </w:tc>
        <w:tc>
          <w:tcPr>
            <w:tcW w:w="1419"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rPr>
            </w:pPr>
            <w:r>
              <w:rPr>
                <w:rFonts w:hint="default" w:ascii="仿宋" w:hAnsi="仿宋" w:eastAsia="仿宋" w:cs="仿宋"/>
                <w:color w:val="auto"/>
                <w:kern w:val="0"/>
                <w:sz w:val="22"/>
                <w:szCs w:val="22"/>
                <w:highlight w:val="none"/>
              </w:rPr>
              <w:t>项目名称</w:t>
            </w:r>
          </w:p>
        </w:tc>
        <w:tc>
          <w:tcPr>
            <w:tcW w:w="1623"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rPr>
            </w:pPr>
            <w:r>
              <w:rPr>
                <w:rFonts w:hint="default" w:ascii="仿宋" w:hAnsi="仿宋" w:eastAsia="仿宋" w:cs="仿宋"/>
                <w:color w:val="auto"/>
                <w:kern w:val="0"/>
                <w:sz w:val="22"/>
                <w:szCs w:val="22"/>
                <w:highlight w:val="none"/>
              </w:rPr>
              <w:t>主管部门</w:t>
            </w:r>
          </w:p>
        </w:tc>
        <w:tc>
          <w:tcPr>
            <w:tcW w:w="2333"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rPr>
            </w:pPr>
            <w:r>
              <w:rPr>
                <w:rFonts w:hint="default" w:ascii="仿宋" w:hAnsi="仿宋" w:eastAsia="仿宋" w:cs="仿宋"/>
                <w:color w:val="auto"/>
                <w:kern w:val="0"/>
                <w:sz w:val="22"/>
                <w:szCs w:val="22"/>
                <w:highlight w:val="none"/>
              </w:rPr>
              <w:t>主要内容</w:t>
            </w:r>
          </w:p>
        </w:tc>
        <w:tc>
          <w:tcPr>
            <w:tcW w:w="870"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rPr>
            </w:pPr>
            <w:r>
              <w:rPr>
                <w:rFonts w:hint="default" w:ascii="仿宋" w:hAnsi="仿宋" w:eastAsia="仿宋" w:cs="仿宋"/>
                <w:color w:val="auto"/>
                <w:kern w:val="0"/>
                <w:sz w:val="22"/>
                <w:szCs w:val="22"/>
                <w:highlight w:val="none"/>
              </w:rPr>
              <w:t>投资估算（万元）</w:t>
            </w:r>
          </w:p>
        </w:tc>
        <w:tc>
          <w:tcPr>
            <w:tcW w:w="858"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rPr>
            </w:pPr>
            <w:r>
              <w:rPr>
                <w:rFonts w:hint="default" w:ascii="仿宋" w:hAnsi="仿宋" w:eastAsia="仿宋" w:cs="仿宋"/>
                <w:color w:val="auto"/>
                <w:kern w:val="0"/>
                <w:sz w:val="22"/>
                <w:szCs w:val="22"/>
                <w:highlight w:val="none"/>
              </w:rPr>
              <w:t>实施年限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9" w:hRule="atLeast"/>
          <w:jc w:val="center"/>
        </w:trPr>
        <w:tc>
          <w:tcPr>
            <w:tcW w:w="694"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c>
          <w:tcPr>
            <w:tcW w:w="694" w:type="dxa"/>
            <w:vMerge w:val="restart"/>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城镇生活废水治理</w:t>
            </w:r>
          </w:p>
        </w:tc>
        <w:tc>
          <w:tcPr>
            <w:tcW w:w="1419"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策勒县污水资源再利用建设项目</w:t>
            </w:r>
          </w:p>
        </w:tc>
        <w:tc>
          <w:tcPr>
            <w:tcW w:w="162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策勒县住建局</w:t>
            </w:r>
          </w:p>
        </w:tc>
        <w:tc>
          <w:tcPr>
            <w:tcW w:w="23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新建中水回用管网30 km，并配套</w:t>
            </w:r>
            <w:r>
              <w:rPr>
                <w:rFonts w:hint="eastAsia" w:ascii="仿宋" w:hAnsi="仿宋" w:eastAsia="仿宋" w:cs="仿宋"/>
                <w:color w:val="auto"/>
                <w:kern w:val="0"/>
                <w:sz w:val="22"/>
                <w:szCs w:val="22"/>
                <w:highlight w:val="none"/>
                <w:lang w:eastAsia="zh-CN"/>
              </w:rPr>
              <w:t>清水池</w:t>
            </w:r>
            <w:r>
              <w:rPr>
                <w:rFonts w:hint="eastAsia" w:ascii="仿宋" w:hAnsi="仿宋" w:eastAsia="仿宋" w:cs="仿宋"/>
                <w:color w:val="auto"/>
                <w:kern w:val="0"/>
                <w:sz w:val="22"/>
                <w:szCs w:val="22"/>
                <w:highlight w:val="none"/>
                <w:lang w:val="en-US" w:eastAsia="zh-CN"/>
              </w:rPr>
              <w:t>1个、吸水井1个、用水泵房1座、配电室1个以及检查井、排污井300井等配套</w:t>
            </w:r>
            <w:r>
              <w:rPr>
                <w:rFonts w:hint="eastAsia" w:ascii="仿宋" w:hAnsi="仿宋" w:eastAsia="仿宋" w:cs="仿宋"/>
                <w:color w:val="auto"/>
                <w:kern w:val="0"/>
                <w:sz w:val="22"/>
                <w:szCs w:val="22"/>
                <w:highlight w:val="none"/>
              </w:rPr>
              <w:t>设施。</w:t>
            </w:r>
          </w:p>
        </w:tc>
        <w:tc>
          <w:tcPr>
            <w:tcW w:w="870"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7</w:t>
            </w:r>
            <w:r>
              <w:rPr>
                <w:rFonts w:hint="eastAsia" w:ascii="仿宋" w:hAnsi="仿宋" w:eastAsia="仿宋" w:cs="仿宋"/>
                <w:color w:val="auto"/>
                <w:kern w:val="0"/>
                <w:sz w:val="22"/>
                <w:szCs w:val="22"/>
                <w:highlight w:val="none"/>
              </w:rPr>
              <w:t>000</w:t>
            </w:r>
          </w:p>
        </w:tc>
        <w:tc>
          <w:tcPr>
            <w:tcW w:w="858"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rPr>
              <w:t>202</w:t>
            </w:r>
            <w:r>
              <w:rPr>
                <w:rFonts w:hint="eastAsia" w:ascii="仿宋" w:hAnsi="仿宋" w:eastAsia="仿宋" w:cs="仿宋"/>
                <w:color w:val="auto"/>
                <w:kern w:val="0"/>
                <w:sz w:val="22"/>
                <w:szCs w:val="22"/>
                <w:highlight w:val="none"/>
                <w:lang w:val="en-US" w:eastAsia="zh-CN"/>
              </w:rPr>
              <w:t>2</w:t>
            </w:r>
            <w:r>
              <w:rPr>
                <w:rFonts w:hint="eastAsia" w:ascii="仿宋" w:hAnsi="仿宋" w:eastAsia="仿宋" w:cs="仿宋"/>
                <w:color w:val="auto"/>
                <w:kern w:val="0"/>
                <w:sz w:val="22"/>
                <w:szCs w:val="22"/>
                <w:highlight w:val="none"/>
                <w:lang w:eastAsia="zh-CN"/>
              </w:rPr>
              <w:t>—</w:t>
            </w:r>
            <w:r>
              <w:rPr>
                <w:rFonts w:hint="eastAsia" w:ascii="仿宋" w:hAnsi="仿宋" w:eastAsia="仿宋" w:cs="仿宋"/>
                <w:color w:val="auto"/>
                <w:kern w:val="0"/>
                <w:sz w:val="22"/>
                <w:szCs w:val="22"/>
                <w:highlight w:val="none"/>
              </w:rPr>
              <w:t>202</w:t>
            </w:r>
            <w:r>
              <w:rPr>
                <w:rFonts w:hint="eastAsia" w:ascii="仿宋" w:hAnsi="仿宋" w:eastAsia="仿宋" w:cs="仿宋"/>
                <w:color w:val="auto"/>
                <w:kern w:val="0"/>
                <w:sz w:val="22"/>
                <w:szCs w:val="22"/>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8" w:hRule="atLeast"/>
          <w:jc w:val="center"/>
        </w:trPr>
        <w:tc>
          <w:tcPr>
            <w:tcW w:w="694"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w:t>
            </w:r>
          </w:p>
        </w:tc>
        <w:tc>
          <w:tcPr>
            <w:tcW w:w="694" w:type="dxa"/>
            <w:vMerge w:val="continue"/>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p>
        </w:tc>
        <w:tc>
          <w:tcPr>
            <w:tcW w:w="1419"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策勒县东片区污水处理设施及管网建设项目</w:t>
            </w:r>
          </w:p>
        </w:tc>
        <w:tc>
          <w:tcPr>
            <w:tcW w:w="162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策勒县住建局</w:t>
            </w:r>
          </w:p>
        </w:tc>
        <w:tc>
          <w:tcPr>
            <w:tcW w:w="23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采用A</w:t>
            </w:r>
            <w:r>
              <w:rPr>
                <w:rFonts w:hint="eastAsia" w:ascii="仿宋" w:hAnsi="仿宋" w:eastAsia="仿宋" w:cs="仿宋"/>
                <w:color w:val="auto"/>
                <w:kern w:val="0"/>
                <w:sz w:val="22"/>
                <w:szCs w:val="22"/>
                <w:highlight w:val="none"/>
                <w:vertAlign w:val="superscript"/>
              </w:rPr>
              <w:t>2</w:t>
            </w:r>
            <w:r>
              <w:rPr>
                <w:rFonts w:hint="eastAsia" w:ascii="仿宋" w:hAnsi="仿宋" w:eastAsia="仿宋" w:cs="仿宋"/>
                <w:color w:val="auto"/>
                <w:kern w:val="0"/>
                <w:sz w:val="22"/>
                <w:szCs w:val="22"/>
                <w:highlight w:val="none"/>
              </w:rPr>
              <w:t>/0工艺，新建</w:t>
            </w:r>
            <w:r>
              <w:rPr>
                <w:rFonts w:hint="eastAsia" w:ascii="仿宋" w:hAnsi="仿宋" w:eastAsia="仿宋" w:cs="仿宋"/>
                <w:color w:val="auto"/>
                <w:kern w:val="0"/>
                <w:sz w:val="22"/>
                <w:szCs w:val="22"/>
                <w:highlight w:val="none"/>
                <w:lang w:val="en-US" w:eastAsia="zh-CN"/>
              </w:rPr>
              <w:t>6000方</w:t>
            </w:r>
            <w:r>
              <w:rPr>
                <w:rFonts w:hint="eastAsia" w:ascii="仿宋" w:hAnsi="仿宋" w:eastAsia="仿宋" w:cs="仿宋"/>
                <w:color w:val="auto"/>
                <w:kern w:val="0"/>
                <w:sz w:val="22"/>
                <w:szCs w:val="22"/>
                <w:highlight w:val="none"/>
              </w:rPr>
              <w:t>日处理能力污水处理厂</w:t>
            </w:r>
            <w:r>
              <w:rPr>
                <w:rFonts w:hint="eastAsia" w:ascii="仿宋" w:hAnsi="仿宋" w:eastAsia="仿宋" w:cs="仿宋"/>
                <w:color w:val="auto"/>
                <w:kern w:val="0"/>
                <w:sz w:val="22"/>
                <w:szCs w:val="22"/>
                <w:highlight w:val="none"/>
                <w:lang w:val="en-US" w:eastAsia="zh-CN"/>
              </w:rPr>
              <w:t>1座及</w:t>
            </w:r>
            <w:r>
              <w:rPr>
                <w:rFonts w:hint="eastAsia" w:ascii="仿宋" w:hAnsi="仿宋" w:eastAsia="仿宋" w:cs="仿宋"/>
                <w:color w:val="auto"/>
                <w:kern w:val="0"/>
                <w:sz w:val="22"/>
                <w:szCs w:val="22"/>
                <w:highlight w:val="none"/>
              </w:rPr>
              <w:t>附属设施。</w:t>
            </w:r>
            <w:r>
              <w:rPr>
                <w:rFonts w:hint="eastAsia" w:ascii="仿宋" w:hAnsi="仿宋" w:eastAsia="仿宋" w:cs="仿宋"/>
                <w:color w:val="auto"/>
                <w:kern w:val="0"/>
                <w:sz w:val="22"/>
                <w:szCs w:val="22"/>
                <w:highlight w:val="none"/>
                <w:lang w:val="en-US" w:eastAsia="zh-CN"/>
              </w:rPr>
              <w:t>铺设，管径DN300—DN500管网60公里。</w:t>
            </w:r>
          </w:p>
        </w:tc>
        <w:tc>
          <w:tcPr>
            <w:tcW w:w="870"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9800</w:t>
            </w:r>
          </w:p>
        </w:tc>
        <w:tc>
          <w:tcPr>
            <w:tcW w:w="858"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343" w:hRule="atLeast"/>
          <w:jc w:val="center"/>
        </w:trPr>
        <w:tc>
          <w:tcPr>
            <w:tcW w:w="694"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w:t>
            </w:r>
          </w:p>
        </w:tc>
        <w:tc>
          <w:tcPr>
            <w:tcW w:w="694"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水源地保护重点工程</w:t>
            </w:r>
          </w:p>
        </w:tc>
        <w:tc>
          <w:tcPr>
            <w:tcW w:w="1419"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策勒县水源保护区建设工程</w:t>
            </w:r>
          </w:p>
        </w:tc>
        <w:tc>
          <w:tcPr>
            <w:tcW w:w="162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和田地区</w:t>
            </w:r>
            <w:r>
              <w:rPr>
                <w:rFonts w:hint="eastAsia" w:ascii="仿宋" w:hAnsi="仿宋" w:eastAsia="仿宋" w:cs="仿宋"/>
                <w:color w:val="auto"/>
                <w:kern w:val="0"/>
                <w:sz w:val="22"/>
                <w:szCs w:val="22"/>
                <w:highlight w:val="none"/>
              </w:rPr>
              <w:t>生态环境</w:t>
            </w:r>
            <w:r>
              <w:rPr>
                <w:rFonts w:hint="eastAsia" w:ascii="仿宋" w:hAnsi="仿宋" w:eastAsia="仿宋" w:cs="仿宋"/>
                <w:color w:val="auto"/>
                <w:kern w:val="0"/>
                <w:sz w:val="22"/>
                <w:szCs w:val="22"/>
                <w:highlight w:val="none"/>
                <w:lang w:eastAsia="zh-CN"/>
              </w:rPr>
              <w:t>局</w:t>
            </w:r>
            <w:r>
              <w:rPr>
                <w:rFonts w:hint="eastAsia" w:ascii="仿宋" w:hAnsi="仿宋" w:eastAsia="仿宋" w:cs="仿宋"/>
                <w:color w:val="auto"/>
                <w:kern w:val="0"/>
                <w:sz w:val="22"/>
                <w:szCs w:val="22"/>
                <w:highlight w:val="none"/>
              </w:rPr>
              <w:t>策勒县</w:t>
            </w:r>
            <w:r>
              <w:rPr>
                <w:rFonts w:hint="eastAsia" w:ascii="仿宋" w:hAnsi="仿宋" w:eastAsia="仿宋" w:cs="仿宋"/>
                <w:color w:val="auto"/>
                <w:kern w:val="0"/>
                <w:sz w:val="22"/>
                <w:szCs w:val="22"/>
                <w:highlight w:val="none"/>
                <w:lang w:eastAsia="zh-CN"/>
              </w:rPr>
              <w:t>分</w:t>
            </w:r>
            <w:r>
              <w:rPr>
                <w:rFonts w:hint="eastAsia" w:ascii="仿宋" w:hAnsi="仿宋" w:eastAsia="仿宋" w:cs="仿宋"/>
                <w:color w:val="auto"/>
                <w:kern w:val="0"/>
                <w:sz w:val="22"/>
                <w:szCs w:val="22"/>
                <w:highlight w:val="none"/>
              </w:rPr>
              <w:t>局</w:t>
            </w:r>
          </w:p>
        </w:tc>
        <w:tc>
          <w:tcPr>
            <w:tcW w:w="23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开展新划定4处水源保护区的基础设施建设。</w:t>
            </w:r>
          </w:p>
        </w:tc>
        <w:tc>
          <w:tcPr>
            <w:tcW w:w="870"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1600</w:t>
            </w:r>
          </w:p>
        </w:tc>
        <w:tc>
          <w:tcPr>
            <w:tcW w:w="858"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rPr>
              <w:t>202</w:t>
            </w:r>
            <w:r>
              <w:rPr>
                <w:rFonts w:hint="eastAsia" w:ascii="仿宋" w:hAnsi="仿宋" w:eastAsia="仿宋" w:cs="仿宋"/>
                <w:color w:val="auto"/>
                <w:kern w:val="0"/>
                <w:sz w:val="22"/>
                <w:szCs w:val="22"/>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640" w:hRule="atLeast"/>
          <w:jc w:val="center"/>
        </w:trPr>
        <w:tc>
          <w:tcPr>
            <w:tcW w:w="694"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w:t>
            </w:r>
          </w:p>
        </w:tc>
        <w:tc>
          <w:tcPr>
            <w:tcW w:w="694"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农村生生活污水治理</w:t>
            </w:r>
          </w:p>
        </w:tc>
        <w:tc>
          <w:tcPr>
            <w:tcW w:w="1419"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农村生生活污水治理工程</w:t>
            </w:r>
          </w:p>
        </w:tc>
        <w:tc>
          <w:tcPr>
            <w:tcW w:w="162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策勒县住建局</w:t>
            </w:r>
          </w:p>
        </w:tc>
        <w:tc>
          <w:tcPr>
            <w:tcW w:w="23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策勒镇11个村污水纳管处理；固拉哈玛镇15个村生活污水采取连片集中处理，2个村</w:t>
            </w:r>
          </w:p>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纳管，2个村采取镇区集中处理，2个村采取分散处理；策勒乡18个村纳管处理，1个村采取单村集中处理；</w:t>
            </w:r>
          </w:p>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达玛沟乡8个村采取镇区集中处理，8个村采取连片集中处理；恰哈乡4个村取镇区集中处理，</w:t>
            </w:r>
          </w:p>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rPr>
              <w:t>5个村采取连片集中处理，8个村采取单村集中处理，3个村采取分散处理；乌鲁克萨依乡6个村采取镇区集中处理，1个村采取单村集中处理，1个村采取分散处理</w:t>
            </w:r>
            <w:r>
              <w:rPr>
                <w:rFonts w:hint="eastAsia" w:ascii="仿宋" w:hAnsi="仿宋" w:eastAsia="仿宋" w:cs="仿宋"/>
                <w:color w:val="auto"/>
                <w:kern w:val="0"/>
                <w:sz w:val="22"/>
                <w:szCs w:val="22"/>
                <w:highlight w:val="none"/>
                <w:lang w:eastAsia="zh-CN"/>
              </w:rPr>
              <w:t>；努尔乡5个村采取镇区集中处理，11个村采取单村集中处理，2个村采取分散处理。</w:t>
            </w:r>
          </w:p>
        </w:tc>
        <w:tc>
          <w:tcPr>
            <w:tcW w:w="870"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9000</w:t>
            </w:r>
          </w:p>
        </w:tc>
        <w:tc>
          <w:tcPr>
            <w:tcW w:w="858"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540" w:hRule="atLeast"/>
          <w:jc w:val="center"/>
        </w:trPr>
        <w:tc>
          <w:tcPr>
            <w:tcW w:w="694"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5</w:t>
            </w:r>
          </w:p>
        </w:tc>
        <w:tc>
          <w:tcPr>
            <w:tcW w:w="694" w:type="dxa"/>
            <w:vMerge w:val="restart"/>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固体废物处理项目</w:t>
            </w:r>
          </w:p>
        </w:tc>
        <w:tc>
          <w:tcPr>
            <w:tcW w:w="1419"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策勒县山区生活垃圾转运项目</w:t>
            </w:r>
          </w:p>
        </w:tc>
        <w:tc>
          <w:tcPr>
            <w:tcW w:w="162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策勒县住建局</w:t>
            </w:r>
          </w:p>
        </w:tc>
        <w:tc>
          <w:tcPr>
            <w:tcW w:w="23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在博斯坦乡、奴尔乡、恰哈乡、乌鲁克萨依乡新建两座日处理50吨生活垃圾填埋场及配套，在博斯坦乡和乌鲁克萨依乡各新建1座日处理20吨的生活垃圾转运站及配套。</w:t>
            </w:r>
          </w:p>
        </w:tc>
        <w:tc>
          <w:tcPr>
            <w:tcW w:w="870"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6228</w:t>
            </w:r>
          </w:p>
        </w:tc>
        <w:tc>
          <w:tcPr>
            <w:tcW w:w="858"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2021</w:t>
            </w:r>
            <w:r>
              <w:rPr>
                <w:rFonts w:hint="eastAsia" w:ascii="仿宋" w:hAnsi="仿宋" w:eastAsia="仿宋" w:cs="仿宋"/>
                <w:color w:val="auto"/>
                <w:kern w:val="0"/>
                <w:sz w:val="22"/>
                <w:szCs w:val="22"/>
                <w:highlight w:val="none"/>
                <w:lang w:val="en" w:eastAsia="zh-CN"/>
              </w:rPr>
              <w:t>—</w:t>
            </w:r>
            <w:r>
              <w:rPr>
                <w:rFonts w:hint="eastAsia" w:ascii="仿宋" w:hAnsi="仿宋" w:eastAsia="仿宋" w:cs="仿宋"/>
                <w:color w:val="auto"/>
                <w:kern w:val="0"/>
                <w:sz w:val="22"/>
                <w:szCs w:val="22"/>
                <w:highlight w:val="none"/>
                <w:lang w:eastAsia="zh-CN"/>
              </w:rPr>
              <w:t>202</w:t>
            </w:r>
            <w:r>
              <w:rPr>
                <w:rFonts w:hint="eastAsia" w:ascii="仿宋" w:hAnsi="仿宋" w:eastAsia="仿宋" w:cs="仿宋"/>
                <w:color w:val="auto"/>
                <w:kern w:val="0"/>
                <w:sz w:val="22"/>
                <w:szCs w:val="22"/>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374" w:hRule="atLeast"/>
          <w:jc w:val="center"/>
        </w:trPr>
        <w:tc>
          <w:tcPr>
            <w:tcW w:w="694"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6</w:t>
            </w:r>
          </w:p>
        </w:tc>
        <w:tc>
          <w:tcPr>
            <w:tcW w:w="69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40" w:firstLineChars="200"/>
              <w:jc w:val="both"/>
              <w:textAlignment w:val="auto"/>
              <w:rPr>
                <w:rFonts w:hint="eastAsia" w:ascii="仿宋" w:hAnsi="仿宋" w:eastAsia="仿宋" w:cs="仿宋"/>
                <w:color w:val="auto"/>
                <w:kern w:val="0"/>
                <w:sz w:val="22"/>
                <w:szCs w:val="22"/>
                <w:highlight w:val="none"/>
                <w:lang w:eastAsia="zh-CN"/>
              </w:rPr>
            </w:pPr>
          </w:p>
        </w:tc>
        <w:tc>
          <w:tcPr>
            <w:tcW w:w="1419"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策勒县建筑垃圾填埋场建设项目</w:t>
            </w:r>
          </w:p>
        </w:tc>
        <w:tc>
          <w:tcPr>
            <w:tcW w:w="162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策勒县住建局</w:t>
            </w:r>
          </w:p>
        </w:tc>
        <w:tc>
          <w:tcPr>
            <w:tcW w:w="23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新建1座容量为30万方的建筑垃圾填埋场，以及配套附属设施。</w:t>
            </w:r>
          </w:p>
        </w:tc>
        <w:tc>
          <w:tcPr>
            <w:tcW w:w="870"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3000</w:t>
            </w:r>
          </w:p>
        </w:tc>
        <w:tc>
          <w:tcPr>
            <w:tcW w:w="858"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2021</w:t>
            </w:r>
            <w:r>
              <w:rPr>
                <w:rFonts w:hint="eastAsia" w:ascii="仿宋" w:hAnsi="仿宋" w:eastAsia="仿宋" w:cs="仿宋"/>
                <w:color w:val="auto"/>
                <w:kern w:val="0"/>
                <w:sz w:val="22"/>
                <w:szCs w:val="22"/>
                <w:highlight w:val="none"/>
                <w:lang w:val="en" w:eastAsia="zh-CN"/>
              </w:rPr>
              <w:t>—</w:t>
            </w:r>
            <w:r>
              <w:rPr>
                <w:rFonts w:hint="eastAsia" w:ascii="仿宋" w:hAnsi="仿宋" w:eastAsia="仿宋" w:cs="仿宋"/>
                <w:color w:val="auto"/>
                <w:kern w:val="0"/>
                <w:sz w:val="22"/>
                <w:szCs w:val="22"/>
                <w:highlight w:val="none"/>
                <w:lang w:eastAsia="zh-CN"/>
              </w:rPr>
              <w:t>202</w:t>
            </w:r>
            <w:r>
              <w:rPr>
                <w:rFonts w:hint="eastAsia" w:ascii="仿宋" w:hAnsi="仿宋" w:eastAsia="仿宋" w:cs="仿宋"/>
                <w:color w:val="auto"/>
                <w:kern w:val="0"/>
                <w:sz w:val="22"/>
                <w:szCs w:val="22"/>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217" w:hRule="atLeast"/>
          <w:jc w:val="center"/>
        </w:trPr>
        <w:tc>
          <w:tcPr>
            <w:tcW w:w="694"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7</w:t>
            </w:r>
          </w:p>
        </w:tc>
        <w:tc>
          <w:tcPr>
            <w:tcW w:w="69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40" w:firstLineChars="200"/>
              <w:jc w:val="both"/>
              <w:textAlignment w:val="auto"/>
              <w:rPr>
                <w:rFonts w:hint="eastAsia" w:ascii="仿宋" w:hAnsi="仿宋" w:eastAsia="仿宋" w:cs="仿宋"/>
                <w:color w:val="auto"/>
                <w:kern w:val="0"/>
                <w:sz w:val="22"/>
                <w:szCs w:val="22"/>
                <w:highlight w:val="none"/>
                <w:lang w:eastAsia="zh-CN"/>
              </w:rPr>
            </w:pPr>
          </w:p>
        </w:tc>
        <w:tc>
          <w:tcPr>
            <w:tcW w:w="1419"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固粪集中发酵还田</w:t>
            </w:r>
          </w:p>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p>
        </w:tc>
        <w:tc>
          <w:tcPr>
            <w:tcW w:w="162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策勒县畜牧局</w:t>
            </w:r>
          </w:p>
        </w:tc>
        <w:tc>
          <w:tcPr>
            <w:tcW w:w="23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策勒县羊、肉牛、肉鸡、蛋鸡、骆驼和肉鸽等养殖场可采用机械刮粪板清粪或者干清粪模式收集粪便，装车后运至堆粪场堆积发酵，发酵腐熟的粪肥统一分配，根据施肥需要施用于配套建设的饲草料基地，形成种养一体化的产业链。</w:t>
            </w:r>
          </w:p>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固粪集中发酵还田</w:t>
            </w:r>
          </w:p>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策勒县羊、肉牛、肉鸡、蛋鸡、骆驼和肉鸽等养殖场可采用机械刮粪板清粪或者干清粪模式收集粪便，装车后运至堆粪场堆积发酵，发酵腐熟的粪肥统一分配，根据施肥需要施用于配套建设的饲草料基地，形成种养一体化的产业链。</w:t>
            </w:r>
          </w:p>
        </w:tc>
        <w:tc>
          <w:tcPr>
            <w:tcW w:w="870"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2000</w:t>
            </w:r>
          </w:p>
        </w:tc>
        <w:tc>
          <w:tcPr>
            <w:tcW w:w="858"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2021</w:t>
            </w:r>
            <w:r>
              <w:rPr>
                <w:rFonts w:hint="eastAsia" w:ascii="仿宋" w:hAnsi="仿宋" w:eastAsia="仿宋" w:cs="仿宋"/>
                <w:color w:val="auto"/>
                <w:kern w:val="0"/>
                <w:sz w:val="22"/>
                <w:szCs w:val="22"/>
                <w:highlight w:val="none"/>
                <w:lang w:val="en" w:eastAsia="zh-CN"/>
              </w:rPr>
              <w:t>—</w:t>
            </w:r>
            <w:r>
              <w:rPr>
                <w:rFonts w:hint="eastAsia" w:ascii="仿宋" w:hAnsi="仿宋" w:eastAsia="仿宋" w:cs="仿宋"/>
                <w:color w:val="auto"/>
                <w:kern w:val="0"/>
                <w:sz w:val="22"/>
                <w:szCs w:val="22"/>
                <w:highlight w:val="none"/>
                <w:lang w:eastAsia="zh-CN"/>
              </w:rPr>
              <w:t>202</w:t>
            </w:r>
            <w:r>
              <w:rPr>
                <w:rFonts w:hint="eastAsia" w:ascii="仿宋" w:hAnsi="仿宋" w:eastAsia="仿宋" w:cs="仿宋"/>
                <w:color w:val="auto"/>
                <w:kern w:val="0"/>
                <w:sz w:val="22"/>
                <w:szCs w:val="22"/>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217" w:hRule="atLeast"/>
          <w:jc w:val="center"/>
        </w:trPr>
        <w:tc>
          <w:tcPr>
            <w:tcW w:w="694"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8</w:t>
            </w:r>
          </w:p>
        </w:tc>
        <w:tc>
          <w:tcPr>
            <w:tcW w:w="6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40" w:firstLineChars="200"/>
              <w:jc w:val="both"/>
              <w:textAlignment w:val="auto"/>
              <w:rPr>
                <w:rFonts w:hint="eastAsia" w:ascii="仿宋" w:hAnsi="仿宋" w:eastAsia="仿宋" w:cs="仿宋"/>
                <w:color w:val="auto"/>
                <w:kern w:val="0"/>
                <w:sz w:val="22"/>
                <w:szCs w:val="22"/>
                <w:highlight w:val="none"/>
                <w:lang w:eastAsia="zh-CN"/>
              </w:rPr>
            </w:pPr>
          </w:p>
        </w:tc>
        <w:tc>
          <w:tcPr>
            <w:tcW w:w="1419"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沼气工程</w:t>
            </w:r>
          </w:p>
        </w:tc>
        <w:tc>
          <w:tcPr>
            <w:tcW w:w="162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策勒县畜牧局</w:t>
            </w:r>
          </w:p>
        </w:tc>
        <w:tc>
          <w:tcPr>
            <w:tcW w:w="23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策勒县大型养殖场、养殖小区应建设 4 个大型沼气工程，粪便运输车收集养殖场每日产生的畜禽粪，利用全混合厌氧发酵(CSTR)工艺，</w:t>
            </w:r>
          </w:p>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厌氧发酵后的沼液经过固液分离，沼渣、沼液作为有机肥施用于周边农田、果园或草料地。还可以对沼液过滤浓缩，添加微量、中量及氮磷钾元素，形成适合本地区不同作物（蔬菜、红枣等）需求的专用复混肥。</w:t>
            </w:r>
          </w:p>
        </w:tc>
        <w:tc>
          <w:tcPr>
            <w:tcW w:w="870"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1000</w:t>
            </w:r>
          </w:p>
        </w:tc>
        <w:tc>
          <w:tcPr>
            <w:tcW w:w="858"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2021</w:t>
            </w:r>
            <w:r>
              <w:rPr>
                <w:rFonts w:hint="eastAsia" w:ascii="仿宋" w:hAnsi="仿宋" w:eastAsia="仿宋" w:cs="仿宋"/>
                <w:color w:val="auto"/>
                <w:kern w:val="0"/>
                <w:sz w:val="22"/>
                <w:szCs w:val="22"/>
                <w:highlight w:val="none"/>
                <w:lang w:val="en" w:eastAsia="zh-CN"/>
              </w:rPr>
              <w:t>—</w:t>
            </w:r>
            <w:r>
              <w:rPr>
                <w:rFonts w:hint="eastAsia" w:ascii="仿宋" w:hAnsi="仿宋" w:eastAsia="仿宋" w:cs="仿宋"/>
                <w:color w:val="auto"/>
                <w:kern w:val="0"/>
                <w:sz w:val="22"/>
                <w:szCs w:val="22"/>
                <w:highlight w:val="none"/>
                <w:lang w:eastAsia="zh-CN"/>
              </w:rPr>
              <w:t>202</w:t>
            </w:r>
            <w:r>
              <w:rPr>
                <w:rFonts w:hint="eastAsia" w:ascii="仿宋" w:hAnsi="仿宋" w:eastAsia="仿宋" w:cs="仿宋"/>
                <w:color w:val="auto"/>
                <w:kern w:val="0"/>
                <w:sz w:val="22"/>
                <w:szCs w:val="22"/>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47" w:hRule="atLeast"/>
          <w:jc w:val="center"/>
        </w:trPr>
        <w:tc>
          <w:tcPr>
            <w:tcW w:w="694"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合计</w:t>
            </w:r>
          </w:p>
        </w:tc>
        <w:tc>
          <w:tcPr>
            <w:tcW w:w="6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40" w:firstLineChars="200"/>
              <w:jc w:val="both"/>
              <w:textAlignment w:val="auto"/>
              <w:rPr>
                <w:rFonts w:hint="eastAsia" w:ascii="仿宋" w:hAnsi="仿宋" w:eastAsia="仿宋" w:cs="仿宋"/>
                <w:color w:val="auto"/>
                <w:kern w:val="0"/>
                <w:sz w:val="22"/>
                <w:szCs w:val="22"/>
                <w:highlight w:val="none"/>
                <w:lang w:eastAsia="zh-CN"/>
              </w:rPr>
            </w:pPr>
          </w:p>
        </w:tc>
        <w:tc>
          <w:tcPr>
            <w:tcW w:w="1419"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p>
        </w:tc>
        <w:tc>
          <w:tcPr>
            <w:tcW w:w="162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p>
        </w:tc>
        <w:tc>
          <w:tcPr>
            <w:tcW w:w="23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p>
        </w:tc>
        <w:tc>
          <w:tcPr>
            <w:tcW w:w="870"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39628</w:t>
            </w:r>
          </w:p>
        </w:tc>
        <w:tc>
          <w:tcPr>
            <w:tcW w:w="858"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p>
        </w:tc>
      </w:tr>
    </w:tbl>
    <w:p>
      <w:pPr>
        <w:pStyle w:val="20"/>
        <w:keepNext/>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b/>
          <w:bCs/>
          <w:color w:val="auto"/>
          <w:highlight w:val="none"/>
        </w:rPr>
      </w:pPr>
    </w:p>
    <w:p>
      <w:pPr>
        <w:keepNext w:val="0"/>
        <w:ind w:firstLine="0" w:firstLineChars="0"/>
        <w:jc w:val="center"/>
        <w:rPr>
          <w:rFonts w:ascii="黑体" w:hAnsi="黑体" w:eastAsia="黑体" w:cs="黑体"/>
          <w:color w:val="auto"/>
          <w:sz w:val="24"/>
          <w:szCs w:val="24"/>
          <w:highlight w:val="none"/>
          <w:lang w:val="zh-CN"/>
        </w:rPr>
      </w:pPr>
      <w:r>
        <w:rPr>
          <w:rFonts w:hint="eastAsia"/>
          <w:color w:val="auto"/>
          <w:highlight w:val="none"/>
          <w:lang w:val="en-US" w:eastAsia="zh-CN"/>
        </w:rPr>
        <w:t xml:space="preserve"> </w:t>
      </w:r>
      <w:r>
        <w:rPr>
          <w:rFonts w:hint="eastAsia" w:ascii="黑体" w:hAnsi="黑体" w:eastAsia="黑体" w:cs="黑体"/>
          <w:color w:val="auto"/>
          <w:sz w:val="24"/>
          <w:szCs w:val="24"/>
          <w:highlight w:val="none"/>
          <w:lang w:val="zh-CN"/>
        </w:rPr>
        <w:t>表</w:t>
      </w:r>
      <w:r>
        <w:rPr>
          <w:rFonts w:hint="eastAsia" w:ascii="黑体" w:hAnsi="黑体" w:eastAsia="黑体" w:cs="黑体"/>
          <w:color w:val="auto"/>
          <w:sz w:val="24"/>
          <w:szCs w:val="24"/>
          <w:highlight w:val="none"/>
          <w:lang w:val="en-US" w:eastAsia="zh-CN"/>
        </w:rPr>
        <w:t>5.1</w:t>
      </w: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val="en-US" w:eastAsia="zh-CN"/>
        </w:rPr>
        <w:t>2策勒县</w:t>
      </w:r>
      <w:r>
        <w:rPr>
          <w:rFonts w:hint="eastAsia" w:ascii="黑体" w:hAnsi="黑体" w:eastAsia="黑体" w:cs="黑体"/>
          <w:color w:val="auto"/>
          <w:sz w:val="24"/>
          <w:szCs w:val="24"/>
          <w:highlight w:val="none"/>
          <w:lang w:val="zh-CN"/>
        </w:rPr>
        <w:t>水生态重点工程</w:t>
      </w:r>
    </w:p>
    <w:tbl>
      <w:tblPr>
        <w:tblStyle w:val="26"/>
        <w:tblW w:w="85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701"/>
        <w:gridCol w:w="1433"/>
        <w:gridCol w:w="1053"/>
        <w:gridCol w:w="2747"/>
        <w:gridCol w:w="1075"/>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blHeader/>
          <w:jc w:val="center"/>
        </w:trPr>
        <w:tc>
          <w:tcPr>
            <w:tcW w:w="701" w:type="dxa"/>
            <w:noWrap w:val="0"/>
            <w:vAlign w:val="center"/>
          </w:tcPr>
          <w:p>
            <w:pPr>
              <w:pStyle w:val="20"/>
              <w:keepNext/>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仿宋" w:hAnsi="仿宋" w:eastAsia="仿宋" w:cs="仿宋"/>
                <w:color w:val="auto"/>
                <w:kern w:val="0"/>
                <w:sz w:val="22"/>
                <w:szCs w:val="22"/>
                <w:highlight w:val="none"/>
                <w:lang w:eastAsia="zh-CN"/>
              </w:rPr>
            </w:pPr>
            <w:r>
              <w:rPr>
                <w:rFonts w:hint="eastAsia"/>
                <w:color w:val="auto"/>
                <w:highlight w:val="none"/>
                <w:lang w:val="en-US" w:eastAsia="zh-CN"/>
              </w:rPr>
              <w:t xml:space="preserve">       </w:t>
            </w:r>
            <w:r>
              <w:rPr>
                <w:rFonts w:hint="eastAsia" w:ascii="仿宋" w:hAnsi="仿宋" w:eastAsia="仿宋" w:cs="仿宋"/>
                <w:color w:val="auto"/>
                <w:kern w:val="0"/>
                <w:sz w:val="22"/>
                <w:szCs w:val="22"/>
                <w:highlight w:val="none"/>
                <w:lang w:eastAsia="zh-CN"/>
              </w:rPr>
              <w:t>序号</w:t>
            </w:r>
          </w:p>
        </w:tc>
        <w:tc>
          <w:tcPr>
            <w:tcW w:w="701"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rPr>
            </w:pPr>
            <w:r>
              <w:rPr>
                <w:rFonts w:hint="default" w:ascii="仿宋" w:hAnsi="仿宋" w:eastAsia="仿宋" w:cs="仿宋"/>
                <w:color w:val="auto"/>
                <w:kern w:val="0"/>
                <w:sz w:val="22"/>
                <w:szCs w:val="22"/>
                <w:highlight w:val="none"/>
              </w:rPr>
              <w:t>工程类别</w:t>
            </w:r>
          </w:p>
        </w:tc>
        <w:tc>
          <w:tcPr>
            <w:tcW w:w="1433"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rPr>
            </w:pPr>
            <w:r>
              <w:rPr>
                <w:rFonts w:hint="default" w:ascii="仿宋" w:hAnsi="仿宋" w:eastAsia="仿宋" w:cs="仿宋"/>
                <w:color w:val="auto"/>
                <w:kern w:val="0"/>
                <w:sz w:val="22"/>
                <w:szCs w:val="22"/>
                <w:highlight w:val="none"/>
              </w:rPr>
              <w:t>项目名称</w:t>
            </w:r>
          </w:p>
        </w:tc>
        <w:tc>
          <w:tcPr>
            <w:tcW w:w="1053"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rPr>
            </w:pPr>
            <w:r>
              <w:rPr>
                <w:rFonts w:hint="default" w:ascii="仿宋" w:hAnsi="仿宋" w:eastAsia="仿宋" w:cs="仿宋"/>
                <w:color w:val="auto"/>
                <w:kern w:val="0"/>
                <w:sz w:val="22"/>
                <w:szCs w:val="22"/>
                <w:highlight w:val="none"/>
              </w:rPr>
              <w:t>主管部门</w:t>
            </w:r>
          </w:p>
        </w:tc>
        <w:tc>
          <w:tcPr>
            <w:tcW w:w="2747"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rPr>
            </w:pPr>
            <w:r>
              <w:rPr>
                <w:rFonts w:hint="default" w:ascii="仿宋" w:hAnsi="仿宋" w:eastAsia="仿宋" w:cs="仿宋"/>
                <w:color w:val="auto"/>
                <w:kern w:val="0"/>
                <w:sz w:val="22"/>
                <w:szCs w:val="22"/>
                <w:highlight w:val="none"/>
              </w:rPr>
              <w:t>主要内容</w:t>
            </w:r>
          </w:p>
        </w:tc>
        <w:tc>
          <w:tcPr>
            <w:tcW w:w="1075"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rPr>
            </w:pPr>
            <w:r>
              <w:rPr>
                <w:rFonts w:hint="default" w:ascii="仿宋" w:hAnsi="仿宋" w:eastAsia="仿宋" w:cs="仿宋"/>
                <w:color w:val="auto"/>
                <w:kern w:val="0"/>
                <w:sz w:val="22"/>
                <w:szCs w:val="22"/>
                <w:highlight w:val="none"/>
              </w:rPr>
              <w:t>投资估算（万元）</w:t>
            </w:r>
          </w:p>
        </w:tc>
        <w:tc>
          <w:tcPr>
            <w:tcW w:w="866"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rPr>
            </w:pPr>
            <w:r>
              <w:rPr>
                <w:rFonts w:hint="default" w:ascii="仿宋" w:hAnsi="仿宋" w:eastAsia="仿宋" w:cs="仿宋"/>
                <w:color w:val="auto"/>
                <w:kern w:val="0"/>
                <w:sz w:val="22"/>
                <w:szCs w:val="22"/>
                <w:highlight w:val="none"/>
              </w:rPr>
              <w:t>实施年限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701"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c>
          <w:tcPr>
            <w:tcW w:w="701" w:type="dxa"/>
            <w:vMerge w:val="restart"/>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水生态保护工程</w:t>
            </w:r>
          </w:p>
        </w:tc>
        <w:tc>
          <w:tcPr>
            <w:tcW w:w="14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rPr>
              <w:t>生态基流断面监控能力建设项目</w:t>
            </w:r>
          </w:p>
        </w:tc>
        <w:tc>
          <w:tcPr>
            <w:tcW w:w="105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rPr>
              <w:t>策勒县</w:t>
            </w:r>
            <w:r>
              <w:rPr>
                <w:rFonts w:hint="eastAsia" w:ascii="仿宋" w:hAnsi="仿宋" w:eastAsia="仿宋" w:cs="仿宋"/>
                <w:color w:val="auto"/>
                <w:kern w:val="0"/>
                <w:sz w:val="22"/>
                <w:szCs w:val="22"/>
                <w:highlight w:val="none"/>
                <w:lang w:eastAsia="zh-CN"/>
              </w:rPr>
              <w:t>水利局</w:t>
            </w:r>
          </w:p>
        </w:tc>
        <w:tc>
          <w:tcPr>
            <w:tcW w:w="2747"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事故应急池、应急闸坝等预防设施建设</w:t>
            </w:r>
          </w:p>
        </w:tc>
        <w:tc>
          <w:tcPr>
            <w:tcW w:w="1075"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800</w:t>
            </w:r>
          </w:p>
        </w:tc>
        <w:tc>
          <w:tcPr>
            <w:tcW w:w="866"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rPr>
              <w:t>202</w:t>
            </w:r>
            <w:r>
              <w:rPr>
                <w:rFonts w:hint="eastAsia" w:ascii="仿宋" w:hAnsi="仿宋" w:eastAsia="仿宋" w:cs="仿宋"/>
                <w:color w:val="auto"/>
                <w:kern w:val="0"/>
                <w:sz w:val="22"/>
                <w:szCs w:val="22"/>
                <w:highlight w:val="none"/>
                <w:lang w:val="en-US" w:eastAsia="zh-CN"/>
              </w:rPr>
              <w:t>2</w:t>
            </w:r>
            <w:r>
              <w:rPr>
                <w:rFonts w:hint="eastAsia" w:ascii="仿宋" w:hAnsi="仿宋" w:eastAsia="仿宋" w:cs="仿宋"/>
                <w:color w:val="auto"/>
                <w:kern w:val="0"/>
                <w:sz w:val="22"/>
                <w:szCs w:val="22"/>
                <w:highlight w:val="none"/>
                <w:lang w:eastAsia="zh-CN"/>
              </w:rPr>
              <w:t>—</w:t>
            </w:r>
            <w:r>
              <w:rPr>
                <w:rFonts w:hint="eastAsia" w:ascii="仿宋" w:hAnsi="仿宋" w:eastAsia="仿宋" w:cs="仿宋"/>
                <w:color w:val="auto"/>
                <w:kern w:val="0"/>
                <w:sz w:val="22"/>
                <w:szCs w:val="22"/>
                <w:highlight w:val="none"/>
              </w:rPr>
              <w:t>202</w:t>
            </w:r>
            <w:r>
              <w:rPr>
                <w:rFonts w:hint="eastAsia" w:ascii="仿宋" w:hAnsi="仿宋" w:eastAsia="仿宋" w:cs="仿宋"/>
                <w:color w:val="auto"/>
                <w:kern w:val="0"/>
                <w:sz w:val="22"/>
                <w:szCs w:val="22"/>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701"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w:t>
            </w:r>
          </w:p>
        </w:tc>
        <w:tc>
          <w:tcPr>
            <w:tcW w:w="701" w:type="dxa"/>
            <w:vMerge w:val="continue"/>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p>
        </w:tc>
        <w:tc>
          <w:tcPr>
            <w:tcW w:w="14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策勒县水土流失治理工程</w:t>
            </w:r>
          </w:p>
        </w:tc>
        <w:tc>
          <w:tcPr>
            <w:tcW w:w="105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策勒县水利局</w:t>
            </w:r>
          </w:p>
        </w:tc>
        <w:tc>
          <w:tcPr>
            <w:tcW w:w="2747"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策勒河、努尔河水土流失治理工程</w:t>
            </w:r>
          </w:p>
        </w:tc>
        <w:tc>
          <w:tcPr>
            <w:tcW w:w="1075"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1500</w:t>
            </w:r>
          </w:p>
        </w:tc>
        <w:tc>
          <w:tcPr>
            <w:tcW w:w="866"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701"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bookmarkStart w:id="134" w:name="_Toc16446"/>
            <w:r>
              <w:rPr>
                <w:rFonts w:hint="eastAsia" w:ascii="仿宋" w:hAnsi="仿宋" w:eastAsia="仿宋" w:cs="仿宋"/>
                <w:color w:val="auto"/>
                <w:kern w:val="0"/>
                <w:sz w:val="22"/>
                <w:szCs w:val="22"/>
                <w:highlight w:val="none"/>
                <w:lang w:val="en-US" w:eastAsia="zh-CN"/>
              </w:rPr>
              <w:t>3</w:t>
            </w:r>
          </w:p>
        </w:tc>
        <w:tc>
          <w:tcPr>
            <w:tcW w:w="701"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小河流域治理工程</w:t>
            </w:r>
          </w:p>
        </w:tc>
        <w:tc>
          <w:tcPr>
            <w:tcW w:w="14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策勒县阿克萨音河亚克喀西村段中小河流治理项目</w:t>
            </w:r>
          </w:p>
        </w:tc>
        <w:tc>
          <w:tcPr>
            <w:tcW w:w="105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地区、策勒县水利局</w:t>
            </w:r>
          </w:p>
        </w:tc>
        <w:tc>
          <w:tcPr>
            <w:tcW w:w="2747"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新建防洪堤8km，防洪标准10年一遇，耕地12000亩。</w:t>
            </w:r>
          </w:p>
        </w:tc>
        <w:tc>
          <w:tcPr>
            <w:tcW w:w="1075"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1960</w:t>
            </w:r>
          </w:p>
        </w:tc>
        <w:tc>
          <w:tcPr>
            <w:tcW w:w="866"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701"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w:t>
            </w:r>
          </w:p>
        </w:tc>
        <w:tc>
          <w:tcPr>
            <w:tcW w:w="701"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p>
        </w:tc>
        <w:tc>
          <w:tcPr>
            <w:tcW w:w="14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策勒县乌鲁克萨依河乌鲁克萨依乡阿克齐格村、琼萨依村中小河流治理项目</w:t>
            </w:r>
          </w:p>
        </w:tc>
        <w:tc>
          <w:tcPr>
            <w:tcW w:w="105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地区、策勒县水利局</w:t>
            </w:r>
          </w:p>
        </w:tc>
        <w:tc>
          <w:tcPr>
            <w:tcW w:w="2747"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新建防洪堤7.1km，防洪标准10年一遇，</w:t>
            </w:r>
          </w:p>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耕地18000亩。</w:t>
            </w:r>
          </w:p>
        </w:tc>
        <w:tc>
          <w:tcPr>
            <w:tcW w:w="1075"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1739.5</w:t>
            </w:r>
          </w:p>
        </w:tc>
        <w:tc>
          <w:tcPr>
            <w:tcW w:w="866"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701"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5</w:t>
            </w:r>
          </w:p>
        </w:tc>
        <w:tc>
          <w:tcPr>
            <w:tcW w:w="701"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p>
        </w:tc>
        <w:tc>
          <w:tcPr>
            <w:tcW w:w="14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策勒县策勒河阿西村段中小河流治理项目</w:t>
            </w:r>
          </w:p>
        </w:tc>
        <w:tc>
          <w:tcPr>
            <w:tcW w:w="105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地区、策勒县水利局</w:t>
            </w:r>
          </w:p>
        </w:tc>
        <w:tc>
          <w:tcPr>
            <w:tcW w:w="2747"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新建防洪堤7.5km，防洪标准10年一遇，</w:t>
            </w:r>
          </w:p>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耕地4800亩。</w:t>
            </w:r>
          </w:p>
        </w:tc>
        <w:tc>
          <w:tcPr>
            <w:tcW w:w="1075"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1837.5</w:t>
            </w:r>
          </w:p>
        </w:tc>
        <w:tc>
          <w:tcPr>
            <w:tcW w:w="866"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701"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6</w:t>
            </w:r>
          </w:p>
        </w:tc>
        <w:tc>
          <w:tcPr>
            <w:tcW w:w="701"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p>
        </w:tc>
        <w:tc>
          <w:tcPr>
            <w:tcW w:w="14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策勒县恰哈河恰哈乡色日克阿羌村、兰贵村中小河流治理项目</w:t>
            </w:r>
          </w:p>
        </w:tc>
        <w:tc>
          <w:tcPr>
            <w:tcW w:w="105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地区、策勒县水利局</w:t>
            </w:r>
          </w:p>
        </w:tc>
        <w:tc>
          <w:tcPr>
            <w:tcW w:w="2747"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新建防洪堤5.85km，防洪标准10年一遇，耕地6500亩。</w:t>
            </w:r>
          </w:p>
        </w:tc>
        <w:tc>
          <w:tcPr>
            <w:tcW w:w="1075"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1433.25</w:t>
            </w:r>
          </w:p>
        </w:tc>
        <w:tc>
          <w:tcPr>
            <w:tcW w:w="866"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701"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7</w:t>
            </w:r>
          </w:p>
        </w:tc>
        <w:tc>
          <w:tcPr>
            <w:tcW w:w="701"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p>
        </w:tc>
        <w:tc>
          <w:tcPr>
            <w:tcW w:w="14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策勒县恰哈河固拉哈玛镇段中小河流治理工程</w:t>
            </w:r>
          </w:p>
        </w:tc>
        <w:tc>
          <w:tcPr>
            <w:tcW w:w="105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地区、策勒县水利局</w:t>
            </w:r>
          </w:p>
        </w:tc>
        <w:tc>
          <w:tcPr>
            <w:tcW w:w="2747"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新建防洪堤4km，防洪标准10年一遇，耕地35000亩。</w:t>
            </w:r>
          </w:p>
        </w:tc>
        <w:tc>
          <w:tcPr>
            <w:tcW w:w="1075"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980</w:t>
            </w:r>
          </w:p>
        </w:tc>
        <w:tc>
          <w:tcPr>
            <w:tcW w:w="866"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701"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8</w:t>
            </w:r>
          </w:p>
        </w:tc>
        <w:tc>
          <w:tcPr>
            <w:tcW w:w="701"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p>
        </w:tc>
        <w:tc>
          <w:tcPr>
            <w:tcW w:w="14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策勒县恰哈河恰哈乡段中小河流治理项目</w:t>
            </w:r>
          </w:p>
        </w:tc>
        <w:tc>
          <w:tcPr>
            <w:tcW w:w="105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地区、策勒县水利局</w:t>
            </w:r>
          </w:p>
        </w:tc>
        <w:tc>
          <w:tcPr>
            <w:tcW w:w="2747"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新建防洪堤6.7km，防洪标准10年一遇，</w:t>
            </w:r>
          </w:p>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耕地3000亩。</w:t>
            </w:r>
          </w:p>
        </w:tc>
        <w:tc>
          <w:tcPr>
            <w:tcW w:w="1075"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1641.5</w:t>
            </w:r>
          </w:p>
        </w:tc>
        <w:tc>
          <w:tcPr>
            <w:tcW w:w="866"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701"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9</w:t>
            </w:r>
          </w:p>
        </w:tc>
        <w:tc>
          <w:tcPr>
            <w:tcW w:w="701"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p>
        </w:tc>
        <w:tc>
          <w:tcPr>
            <w:tcW w:w="14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策勒县恰哈河恰哈乡红光村、克西村中小河流治理项目</w:t>
            </w:r>
          </w:p>
        </w:tc>
        <w:tc>
          <w:tcPr>
            <w:tcW w:w="105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地区、策勒县水利局</w:t>
            </w:r>
          </w:p>
        </w:tc>
        <w:tc>
          <w:tcPr>
            <w:tcW w:w="2747"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新建防洪堤8.16km，防洪标准10年一遇，耕地6000亩。</w:t>
            </w:r>
          </w:p>
        </w:tc>
        <w:tc>
          <w:tcPr>
            <w:tcW w:w="1075"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1998.47</w:t>
            </w:r>
          </w:p>
        </w:tc>
        <w:tc>
          <w:tcPr>
            <w:tcW w:w="866"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701"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合计</w:t>
            </w:r>
          </w:p>
        </w:tc>
        <w:tc>
          <w:tcPr>
            <w:tcW w:w="701"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p>
        </w:tc>
        <w:tc>
          <w:tcPr>
            <w:tcW w:w="14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p>
        </w:tc>
        <w:tc>
          <w:tcPr>
            <w:tcW w:w="105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p>
        </w:tc>
        <w:tc>
          <w:tcPr>
            <w:tcW w:w="2747"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p>
        </w:tc>
        <w:tc>
          <w:tcPr>
            <w:tcW w:w="1075"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13890.22</w:t>
            </w:r>
          </w:p>
        </w:tc>
        <w:tc>
          <w:tcPr>
            <w:tcW w:w="866"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p>
        </w:tc>
      </w:tr>
      <w:bookmarkEnd w:id="131"/>
      <w:bookmarkEnd w:id="132"/>
      <w:bookmarkEnd w:id="133"/>
    </w:tbl>
    <w:p>
      <w:pPr>
        <w:keepNext w:val="0"/>
        <w:ind w:firstLine="0" w:firstLineChars="0"/>
        <w:jc w:val="center"/>
        <w:rPr>
          <w:rFonts w:hint="eastAsia"/>
          <w:color w:val="auto"/>
          <w:highlight w:val="none"/>
          <w:lang w:val="en-US" w:eastAsia="zh-CN"/>
        </w:rPr>
      </w:pPr>
    </w:p>
    <w:p>
      <w:pPr>
        <w:keepNext w:val="0"/>
        <w:ind w:firstLine="0" w:firstLineChars="0"/>
        <w:jc w:val="center"/>
        <w:rPr>
          <w:rFonts w:hint="eastAsia" w:ascii="黑体" w:hAnsi="黑体" w:eastAsia="黑体" w:cs="黑体"/>
          <w:color w:val="auto"/>
          <w:sz w:val="24"/>
          <w:szCs w:val="24"/>
          <w:highlight w:val="none"/>
          <w:lang w:val="zh-CN"/>
        </w:rPr>
      </w:pPr>
      <w:r>
        <w:rPr>
          <w:rFonts w:hint="eastAsia"/>
          <w:color w:val="auto"/>
          <w:highlight w:val="none"/>
          <w:lang w:val="en-US" w:eastAsia="zh-CN"/>
        </w:rPr>
        <w:t xml:space="preserve"> </w:t>
      </w:r>
      <w:r>
        <w:rPr>
          <w:rFonts w:hint="eastAsia" w:ascii="黑体" w:hAnsi="黑体" w:eastAsia="黑体" w:cs="黑体"/>
          <w:color w:val="auto"/>
          <w:sz w:val="24"/>
          <w:szCs w:val="24"/>
          <w:highlight w:val="none"/>
          <w:lang w:val="zh-CN"/>
        </w:rPr>
        <w:t>表</w:t>
      </w:r>
      <w:r>
        <w:rPr>
          <w:rFonts w:hint="eastAsia" w:ascii="黑体" w:hAnsi="黑体" w:eastAsia="黑体" w:cs="黑体"/>
          <w:color w:val="auto"/>
          <w:sz w:val="24"/>
          <w:szCs w:val="24"/>
          <w:highlight w:val="none"/>
          <w:lang w:val="en-US" w:eastAsia="zh-CN"/>
        </w:rPr>
        <w:t>5.1</w:t>
      </w: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val="en-US" w:eastAsia="zh-CN"/>
        </w:rPr>
        <w:t>3策勒县</w:t>
      </w:r>
      <w:r>
        <w:rPr>
          <w:rFonts w:hint="eastAsia" w:ascii="黑体" w:hAnsi="黑体" w:eastAsia="黑体" w:cs="黑体"/>
          <w:color w:val="auto"/>
          <w:sz w:val="24"/>
          <w:szCs w:val="24"/>
          <w:highlight w:val="none"/>
          <w:lang w:val="zh-CN"/>
        </w:rPr>
        <w:t>水资源重点工程</w:t>
      </w:r>
    </w:p>
    <w:tbl>
      <w:tblPr>
        <w:tblStyle w:val="26"/>
        <w:tblW w:w="85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701"/>
        <w:gridCol w:w="1433"/>
        <w:gridCol w:w="1053"/>
        <w:gridCol w:w="2747"/>
        <w:gridCol w:w="1075"/>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blHeader/>
          <w:jc w:val="center"/>
        </w:trPr>
        <w:tc>
          <w:tcPr>
            <w:tcW w:w="701" w:type="dxa"/>
            <w:noWrap w:val="0"/>
            <w:vAlign w:val="center"/>
          </w:tcPr>
          <w:p>
            <w:pPr>
              <w:pStyle w:val="20"/>
              <w:keepNext/>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仿宋" w:hAnsi="仿宋" w:eastAsia="仿宋" w:cs="仿宋"/>
                <w:color w:val="auto"/>
                <w:kern w:val="0"/>
                <w:sz w:val="22"/>
                <w:szCs w:val="22"/>
                <w:highlight w:val="none"/>
                <w:lang w:eastAsia="zh-CN"/>
              </w:rPr>
            </w:pPr>
            <w:r>
              <w:rPr>
                <w:rFonts w:hint="eastAsia"/>
                <w:color w:val="auto"/>
                <w:highlight w:val="none"/>
                <w:lang w:val="en-US" w:eastAsia="zh-CN"/>
              </w:rPr>
              <w:t xml:space="preserve">       </w:t>
            </w:r>
            <w:r>
              <w:rPr>
                <w:rFonts w:hint="eastAsia" w:ascii="仿宋" w:hAnsi="仿宋" w:eastAsia="仿宋" w:cs="仿宋"/>
                <w:color w:val="auto"/>
                <w:kern w:val="0"/>
                <w:sz w:val="22"/>
                <w:szCs w:val="22"/>
                <w:highlight w:val="none"/>
                <w:lang w:eastAsia="zh-CN"/>
              </w:rPr>
              <w:t>序号</w:t>
            </w:r>
          </w:p>
        </w:tc>
        <w:tc>
          <w:tcPr>
            <w:tcW w:w="701"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rPr>
            </w:pPr>
            <w:r>
              <w:rPr>
                <w:rFonts w:hint="default" w:ascii="仿宋" w:hAnsi="仿宋" w:eastAsia="仿宋" w:cs="仿宋"/>
                <w:color w:val="auto"/>
                <w:kern w:val="0"/>
                <w:sz w:val="22"/>
                <w:szCs w:val="22"/>
                <w:highlight w:val="none"/>
              </w:rPr>
              <w:t>工程类别</w:t>
            </w:r>
          </w:p>
        </w:tc>
        <w:tc>
          <w:tcPr>
            <w:tcW w:w="1433"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rPr>
            </w:pPr>
            <w:r>
              <w:rPr>
                <w:rFonts w:hint="default" w:ascii="仿宋" w:hAnsi="仿宋" w:eastAsia="仿宋" w:cs="仿宋"/>
                <w:color w:val="auto"/>
                <w:kern w:val="0"/>
                <w:sz w:val="22"/>
                <w:szCs w:val="22"/>
                <w:highlight w:val="none"/>
              </w:rPr>
              <w:t>项目名称</w:t>
            </w:r>
          </w:p>
        </w:tc>
        <w:tc>
          <w:tcPr>
            <w:tcW w:w="1053"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rPr>
            </w:pPr>
            <w:r>
              <w:rPr>
                <w:rFonts w:hint="default" w:ascii="仿宋" w:hAnsi="仿宋" w:eastAsia="仿宋" w:cs="仿宋"/>
                <w:color w:val="auto"/>
                <w:kern w:val="0"/>
                <w:sz w:val="22"/>
                <w:szCs w:val="22"/>
                <w:highlight w:val="none"/>
              </w:rPr>
              <w:t>主管部门</w:t>
            </w:r>
          </w:p>
        </w:tc>
        <w:tc>
          <w:tcPr>
            <w:tcW w:w="2747"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rPr>
            </w:pPr>
            <w:r>
              <w:rPr>
                <w:rFonts w:hint="default" w:ascii="仿宋" w:hAnsi="仿宋" w:eastAsia="仿宋" w:cs="仿宋"/>
                <w:color w:val="auto"/>
                <w:kern w:val="0"/>
                <w:sz w:val="22"/>
                <w:szCs w:val="22"/>
                <w:highlight w:val="none"/>
              </w:rPr>
              <w:t>主要内容</w:t>
            </w:r>
          </w:p>
        </w:tc>
        <w:tc>
          <w:tcPr>
            <w:tcW w:w="1075"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rPr>
            </w:pPr>
            <w:r>
              <w:rPr>
                <w:rFonts w:hint="default" w:ascii="仿宋" w:hAnsi="仿宋" w:eastAsia="仿宋" w:cs="仿宋"/>
                <w:color w:val="auto"/>
                <w:kern w:val="0"/>
                <w:sz w:val="22"/>
                <w:szCs w:val="22"/>
                <w:highlight w:val="none"/>
              </w:rPr>
              <w:t>投资估算（万元）</w:t>
            </w:r>
          </w:p>
        </w:tc>
        <w:tc>
          <w:tcPr>
            <w:tcW w:w="866"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rPr>
            </w:pPr>
            <w:r>
              <w:rPr>
                <w:rFonts w:hint="default" w:ascii="仿宋" w:hAnsi="仿宋" w:eastAsia="仿宋" w:cs="仿宋"/>
                <w:color w:val="auto"/>
                <w:kern w:val="0"/>
                <w:sz w:val="22"/>
                <w:szCs w:val="22"/>
                <w:highlight w:val="none"/>
              </w:rPr>
              <w:t>实施年限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701"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c>
          <w:tcPr>
            <w:tcW w:w="701" w:type="dxa"/>
            <w:vMerge w:val="restart"/>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水资源工程</w:t>
            </w:r>
          </w:p>
        </w:tc>
        <w:tc>
          <w:tcPr>
            <w:tcW w:w="14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退耕还林还草项目</w:t>
            </w:r>
          </w:p>
        </w:tc>
        <w:tc>
          <w:tcPr>
            <w:tcW w:w="105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rPr>
              <w:t>策勒县</w:t>
            </w:r>
            <w:r>
              <w:rPr>
                <w:rFonts w:hint="eastAsia" w:ascii="仿宋" w:hAnsi="仿宋" w:eastAsia="仿宋" w:cs="仿宋"/>
                <w:color w:val="auto"/>
                <w:kern w:val="0"/>
                <w:sz w:val="22"/>
                <w:szCs w:val="22"/>
                <w:highlight w:val="none"/>
                <w:lang w:eastAsia="zh-CN"/>
              </w:rPr>
              <w:t>农</w:t>
            </w:r>
            <w:r>
              <w:rPr>
                <w:rFonts w:hint="eastAsia" w:ascii="仿宋" w:hAnsi="仿宋" w:eastAsia="仿宋" w:cs="仿宋"/>
                <w:color w:val="auto"/>
                <w:kern w:val="0"/>
                <w:sz w:val="22"/>
                <w:szCs w:val="22"/>
                <w:highlight w:val="none"/>
                <w:lang w:val="en-US" w:eastAsia="zh-CN"/>
              </w:rPr>
              <w:t>业</w:t>
            </w:r>
            <w:r>
              <w:rPr>
                <w:rFonts w:hint="eastAsia" w:ascii="仿宋" w:hAnsi="仿宋" w:eastAsia="仿宋" w:cs="仿宋"/>
                <w:color w:val="auto"/>
                <w:kern w:val="0"/>
                <w:sz w:val="22"/>
                <w:szCs w:val="22"/>
                <w:highlight w:val="none"/>
                <w:lang w:eastAsia="zh-CN"/>
              </w:rPr>
              <w:t>农</w:t>
            </w:r>
            <w:r>
              <w:rPr>
                <w:rFonts w:hint="eastAsia" w:ascii="仿宋" w:hAnsi="仿宋" w:eastAsia="仿宋" w:cs="仿宋"/>
                <w:color w:val="auto"/>
                <w:kern w:val="0"/>
                <w:sz w:val="22"/>
                <w:szCs w:val="22"/>
                <w:highlight w:val="none"/>
                <w:lang w:val="en-US" w:eastAsia="zh-CN"/>
              </w:rPr>
              <w:t>村</w:t>
            </w:r>
            <w:bookmarkStart w:id="176" w:name="_GoBack"/>
            <w:bookmarkEnd w:id="176"/>
            <w:r>
              <w:rPr>
                <w:rFonts w:hint="eastAsia" w:ascii="仿宋" w:hAnsi="仿宋" w:eastAsia="仿宋" w:cs="仿宋"/>
                <w:color w:val="auto"/>
                <w:kern w:val="0"/>
                <w:sz w:val="22"/>
                <w:szCs w:val="22"/>
                <w:highlight w:val="none"/>
                <w:lang w:eastAsia="zh-CN"/>
              </w:rPr>
              <w:t>局</w:t>
            </w:r>
          </w:p>
        </w:tc>
        <w:tc>
          <w:tcPr>
            <w:tcW w:w="2747"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退减耕地面积</w:t>
            </w:r>
            <w:r>
              <w:rPr>
                <w:rFonts w:hint="eastAsia" w:ascii="仿宋" w:hAnsi="仿宋" w:eastAsia="仿宋" w:cs="仿宋"/>
                <w:color w:val="auto"/>
                <w:kern w:val="0"/>
                <w:sz w:val="22"/>
                <w:szCs w:val="22"/>
                <w:highlight w:val="none"/>
                <w:lang w:val="en-US" w:eastAsia="zh-CN"/>
              </w:rPr>
              <w:t>1.2</w:t>
            </w:r>
            <w:r>
              <w:rPr>
                <w:rFonts w:hint="eastAsia" w:ascii="仿宋" w:hAnsi="仿宋" w:eastAsia="仿宋" w:cs="仿宋"/>
                <w:color w:val="auto"/>
                <w:kern w:val="0"/>
                <w:sz w:val="22"/>
                <w:szCs w:val="22"/>
                <w:highlight w:val="none"/>
                <w:lang w:eastAsia="zh-CN"/>
              </w:rPr>
              <w:t>万亩</w:t>
            </w:r>
          </w:p>
        </w:tc>
        <w:tc>
          <w:tcPr>
            <w:tcW w:w="1075"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800</w:t>
            </w:r>
          </w:p>
        </w:tc>
        <w:tc>
          <w:tcPr>
            <w:tcW w:w="866"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rPr>
              <w:t>202</w:t>
            </w:r>
            <w:r>
              <w:rPr>
                <w:rFonts w:hint="eastAsia" w:ascii="仿宋" w:hAnsi="仿宋" w:eastAsia="仿宋" w:cs="仿宋"/>
                <w:color w:val="auto"/>
                <w:kern w:val="0"/>
                <w:sz w:val="22"/>
                <w:szCs w:val="22"/>
                <w:highlight w:val="none"/>
                <w:lang w:val="en-US" w:eastAsia="zh-CN"/>
              </w:rPr>
              <w:t>2</w:t>
            </w:r>
            <w:r>
              <w:rPr>
                <w:rFonts w:hint="eastAsia" w:ascii="仿宋" w:hAnsi="仿宋" w:eastAsia="仿宋" w:cs="仿宋"/>
                <w:color w:val="auto"/>
                <w:kern w:val="0"/>
                <w:sz w:val="22"/>
                <w:szCs w:val="22"/>
                <w:highlight w:val="none"/>
                <w:lang w:eastAsia="zh-CN"/>
              </w:rPr>
              <w:t>—</w:t>
            </w:r>
            <w:r>
              <w:rPr>
                <w:rFonts w:hint="eastAsia" w:ascii="仿宋" w:hAnsi="仿宋" w:eastAsia="仿宋" w:cs="仿宋"/>
                <w:color w:val="auto"/>
                <w:kern w:val="0"/>
                <w:sz w:val="22"/>
                <w:szCs w:val="22"/>
                <w:highlight w:val="none"/>
              </w:rPr>
              <w:t>202</w:t>
            </w:r>
            <w:r>
              <w:rPr>
                <w:rFonts w:hint="eastAsia" w:ascii="仿宋" w:hAnsi="仿宋" w:eastAsia="仿宋" w:cs="仿宋"/>
                <w:color w:val="auto"/>
                <w:kern w:val="0"/>
                <w:sz w:val="22"/>
                <w:szCs w:val="22"/>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701"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w:t>
            </w:r>
          </w:p>
        </w:tc>
        <w:tc>
          <w:tcPr>
            <w:tcW w:w="701" w:type="dxa"/>
            <w:vMerge w:val="continue"/>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p>
        </w:tc>
        <w:tc>
          <w:tcPr>
            <w:tcW w:w="14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高标准农田节水灌溉项目</w:t>
            </w:r>
          </w:p>
        </w:tc>
        <w:tc>
          <w:tcPr>
            <w:tcW w:w="105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rPr>
              <w:t>策勒县</w:t>
            </w:r>
            <w:r>
              <w:rPr>
                <w:rFonts w:hint="eastAsia" w:ascii="仿宋" w:hAnsi="仿宋" w:eastAsia="仿宋" w:cs="仿宋"/>
                <w:color w:val="auto"/>
                <w:kern w:val="0"/>
                <w:sz w:val="22"/>
                <w:szCs w:val="22"/>
                <w:highlight w:val="none"/>
                <w:lang w:eastAsia="zh-CN"/>
              </w:rPr>
              <w:t>水利局</w:t>
            </w:r>
          </w:p>
        </w:tc>
        <w:tc>
          <w:tcPr>
            <w:tcW w:w="2747"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eastAsia="zh-CN"/>
              </w:rPr>
              <w:t>增加高效节水灌溉面积</w:t>
            </w:r>
            <w:r>
              <w:rPr>
                <w:rFonts w:hint="eastAsia" w:ascii="仿宋" w:hAnsi="仿宋" w:eastAsia="仿宋" w:cs="仿宋"/>
                <w:color w:val="auto"/>
                <w:kern w:val="0"/>
                <w:sz w:val="22"/>
                <w:szCs w:val="22"/>
                <w:highlight w:val="none"/>
                <w:lang w:val="en-US" w:eastAsia="zh-CN"/>
              </w:rPr>
              <w:t>4.5万亩</w:t>
            </w:r>
          </w:p>
        </w:tc>
        <w:tc>
          <w:tcPr>
            <w:tcW w:w="1075"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1500</w:t>
            </w:r>
          </w:p>
        </w:tc>
        <w:tc>
          <w:tcPr>
            <w:tcW w:w="866"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701"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合计</w:t>
            </w:r>
          </w:p>
        </w:tc>
        <w:tc>
          <w:tcPr>
            <w:tcW w:w="701"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p>
        </w:tc>
        <w:tc>
          <w:tcPr>
            <w:tcW w:w="143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p>
        </w:tc>
        <w:tc>
          <w:tcPr>
            <w:tcW w:w="1053"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p>
        </w:tc>
        <w:tc>
          <w:tcPr>
            <w:tcW w:w="2747"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p>
        </w:tc>
        <w:tc>
          <w:tcPr>
            <w:tcW w:w="1075" w:type="dxa"/>
            <w:noWrap w:val="0"/>
            <w:vAlign w:val="center"/>
          </w:tcPr>
          <w:p>
            <w:pPr>
              <w:widowControl/>
              <w:adjustRightInd/>
              <w:snapToGrid w:val="0"/>
              <w:spacing w:line="240" w:lineRule="auto"/>
              <w:ind w:firstLine="0" w:firstLineChars="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2300</w:t>
            </w:r>
          </w:p>
        </w:tc>
        <w:tc>
          <w:tcPr>
            <w:tcW w:w="866" w:type="dxa"/>
            <w:noWrap w:val="0"/>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p>
        </w:tc>
      </w:tr>
    </w:tbl>
    <w:p>
      <w:pPr>
        <w:pStyle w:val="13"/>
        <w:rPr>
          <w:rFonts w:hint="eastAsia" w:ascii="黑体" w:hAnsi="黑体" w:eastAsia="黑体" w:cs="黑体"/>
          <w:color w:val="auto"/>
          <w:sz w:val="24"/>
          <w:szCs w:val="24"/>
          <w:highlight w:val="none"/>
          <w:lang w:val="zh-CN"/>
        </w:rPr>
      </w:pPr>
    </w:p>
    <w:p>
      <w:pPr>
        <w:rPr>
          <w:rFonts w:hint="eastAsia" w:ascii="黑体" w:hAnsi="黑体" w:eastAsia="黑体" w:cs="黑体"/>
          <w:color w:val="auto"/>
          <w:sz w:val="24"/>
          <w:szCs w:val="24"/>
          <w:highlight w:val="none"/>
          <w:lang w:val="zh-CN"/>
        </w:rPr>
      </w:pPr>
    </w:p>
    <w:p>
      <w:pPr>
        <w:pStyle w:val="13"/>
        <w:rPr>
          <w:rFonts w:hint="eastAsia" w:ascii="黑体" w:hAnsi="黑体" w:eastAsia="黑体" w:cs="黑体"/>
          <w:color w:val="auto"/>
          <w:sz w:val="24"/>
          <w:szCs w:val="24"/>
          <w:highlight w:val="none"/>
          <w:lang w:val="zh-CN"/>
        </w:rPr>
      </w:pPr>
    </w:p>
    <w:p>
      <w:pPr>
        <w:rPr>
          <w:rFonts w:hint="eastAsia" w:ascii="黑体" w:hAnsi="黑体" w:eastAsia="黑体" w:cs="黑体"/>
          <w:color w:val="auto"/>
          <w:sz w:val="24"/>
          <w:szCs w:val="24"/>
          <w:highlight w:val="none"/>
          <w:lang w:val="zh-CN"/>
        </w:rPr>
      </w:pPr>
    </w:p>
    <w:p>
      <w:pPr>
        <w:pStyle w:val="13"/>
        <w:rPr>
          <w:rFonts w:hint="eastAsia" w:ascii="黑体" w:hAnsi="黑体" w:eastAsia="黑体" w:cs="黑体"/>
          <w:color w:val="auto"/>
          <w:sz w:val="24"/>
          <w:szCs w:val="24"/>
          <w:highlight w:val="none"/>
          <w:lang w:val="zh-CN"/>
        </w:rPr>
      </w:pPr>
    </w:p>
    <w:p>
      <w:pPr>
        <w:rPr>
          <w:rFonts w:hint="eastAsia" w:ascii="黑体" w:hAnsi="黑体" w:eastAsia="黑体" w:cs="黑体"/>
          <w:color w:val="auto"/>
          <w:sz w:val="24"/>
          <w:szCs w:val="24"/>
          <w:highlight w:val="none"/>
          <w:lang w:val="zh-CN"/>
        </w:rPr>
      </w:pPr>
    </w:p>
    <w:p>
      <w:pPr>
        <w:pStyle w:val="13"/>
        <w:rPr>
          <w:rFonts w:hint="eastAsia" w:ascii="黑体" w:hAnsi="黑体" w:eastAsia="黑体" w:cs="黑体"/>
          <w:color w:val="auto"/>
          <w:sz w:val="24"/>
          <w:szCs w:val="24"/>
          <w:highlight w:val="none"/>
          <w:lang w:val="zh-CN"/>
        </w:rPr>
      </w:pPr>
    </w:p>
    <w:p>
      <w:pPr>
        <w:rPr>
          <w:rFonts w:hint="eastAsia" w:ascii="黑体" w:hAnsi="黑体" w:eastAsia="黑体" w:cs="黑体"/>
          <w:color w:val="auto"/>
          <w:sz w:val="24"/>
          <w:szCs w:val="24"/>
          <w:highlight w:val="none"/>
          <w:lang w:val="zh-CN"/>
        </w:rPr>
      </w:pPr>
    </w:p>
    <w:p>
      <w:pPr>
        <w:pStyle w:val="13"/>
        <w:rPr>
          <w:rFonts w:hint="eastAsia" w:ascii="黑体" w:hAnsi="黑体" w:eastAsia="黑体" w:cs="黑体"/>
          <w:color w:val="auto"/>
          <w:sz w:val="24"/>
          <w:szCs w:val="24"/>
          <w:highlight w:val="none"/>
          <w:lang w:val="zh-CN"/>
        </w:rPr>
      </w:pPr>
    </w:p>
    <w:p>
      <w:pPr>
        <w:rPr>
          <w:rFonts w:hint="eastAsia" w:ascii="黑体" w:hAnsi="黑体" w:eastAsia="黑体" w:cs="黑体"/>
          <w:color w:val="auto"/>
          <w:sz w:val="24"/>
          <w:szCs w:val="24"/>
          <w:highlight w:val="none"/>
          <w:lang w:val="zh-CN"/>
        </w:rPr>
      </w:pPr>
    </w:p>
    <w:p>
      <w:pPr>
        <w:pStyle w:val="13"/>
        <w:rPr>
          <w:rFonts w:hint="eastAsia" w:ascii="黑体" w:hAnsi="黑体" w:eastAsia="黑体" w:cs="黑体"/>
          <w:color w:val="auto"/>
          <w:sz w:val="24"/>
          <w:szCs w:val="24"/>
          <w:highlight w:val="none"/>
          <w:lang w:val="zh-CN"/>
        </w:rPr>
      </w:pPr>
    </w:p>
    <w:p>
      <w:pPr>
        <w:rPr>
          <w:rFonts w:hint="eastAsia" w:ascii="黑体" w:hAnsi="黑体" w:eastAsia="黑体" w:cs="黑体"/>
          <w:color w:val="auto"/>
          <w:sz w:val="24"/>
          <w:szCs w:val="24"/>
          <w:highlight w:val="none"/>
          <w:lang w:val="zh-CN"/>
        </w:rPr>
      </w:pPr>
    </w:p>
    <w:p>
      <w:pPr>
        <w:pStyle w:val="13"/>
        <w:rPr>
          <w:rFonts w:hint="eastAsia" w:ascii="黑体" w:hAnsi="黑体" w:eastAsia="黑体" w:cs="黑体"/>
          <w:color w:val="auto"/>
          <w:sz w:val="24"/>
          <w:szCs w:val="24"/>
          <w:highlight w:val="none"/>
          <w:lang w:val="zh-CN"/>
        </w:rPr>
      </w:pPr>
    </w:p>
    <w:p>
      <w:pPr>
        <w:rPr>
          <w:rFonts w:hint="eastAsia" w:ascii="黑体" w:hAnsi="黑体" w:eastAsia="黑体" w:cs="黑体"/>
          <w:color w:val="auto"/>
          <w:sz w:val="24"/>
          <w:szCs w:val="24"/>
          <w:highlight w:val="none"/>
          <w:lang w:val="zh-CN"/>
        </w:rPr>
      </w:pPr>
    </w:p>
    <w:p>
      <w:pPr>
        <w:pStyle w:val="13"/>
        <w:rPr>
          <w:rFonts w:hint="eastAsia" w:ascii="黑体" w:hAnsi="黑体" w:eastAsia="黑体" w:cs="黑体"/>
          <w:color w:val="auto"/>
          <w:sz w:val="24"/>
          <w:szCs w:val="24"/>
          <w:highlight w:val="none"/>
          <w:lang w:val="zh-CN"/>
        </w:rPr>
      </w:pPr>
    </w:p>
    <w:p>
      <w:pPr>
        <w:rPr>
          <w:rFonts w:hint="eastAsia" w:ascii="黑体" w:hAnsi="黑体" w:eastAsia="黑体" w:cs="黑体"/>
          <w:color w:val="auto"/>
          <w:sz w:val="24"/>
          <w:szCs w:val="24"/>
          <w:highlight w:val="none"/>
          <w:lang w:val="zh-CN"/>
        </w:rPr>
      </w:pPr>
    </w:p>
    <w:p>
      <w:pPr>
        <w:pStyle w:val="13"/>
        <w:rPr>
          <w:rFonts w:hint="eastAsia" w:ascii="黑体" w:hAnsi="黑体" w:eastAsia="黑体" w:cs="黑体"/>
          <w:color w:val="auto"/>
          <w:sz w:val="24"/>
          <w:szCs w:val="24"/>
          <w:highlight w:val="none"/>
          <w:lang w:val="zh-CN"/>
        </w:rPr>
      </w:pPr>
    </w:p>
    <w:p>
      <w:pPr>
        <w:rPr>
          <w:rFonts w:hint="eastAsia" w:ascii="黑体" w:hAnsi="黑体" w:eastAsia="黑体" w:cs="黑体"/>
          <w:color w:val="auto"/>
          <w:sz w:val="24"/>
          <w:szCs w:val="24"/>
          <w:highlight w:val="none"/>
          <w:lang w:val="zh-CN"/>
        </w:rPr>
      </w:pPr>
    </w:p>
    <w:p>
      <w:pPr>
        <w:pStyle w:val="13"/>
        <w:rPr>
          <w:rFonts w:hint="eastAsia" w:ascii="黑体" w:hAnsi="黑体" w:eastAsia="黑体" w:cs="黑体"/>
          <w:color w:val="auto"/>
          <w:sz w:val="24"/>
          <w:szCs w:val="24"/>
          <w:highlight w:val="none"/>
          <w:lang w:val="zh-CN"/>
        </w:rPr>
      </w:pPr>
    </w:p>
    <w:p>
      <w:pPr>
        <w:rPr>
          <w:rFonts w:hint="eastAsia" w:ascii="黑体" w:hAnsi="黑体" w:eastAsia="黑体" w:cs="黑体"/>
          <w:color w:val="auto"/>
          <w:sz w:val="24"/>
          <w:szCs w:val="24"/>
          <w:highlight w:val="none"/>
          <w:lang w:val="zh-CN"/>
        </w:rPr>
      </w:pPr>
    </w:p>
    <w:p>
      <w:pPr>
        <w:pStyle w:val="13"/>
        <w:rPr>
          <w:rFonts w:hint="eastAsia" w:ascii="黑体" w:hAnsi="黑体" w:eastAsia="黑体" w:cs="黑体"/>
          <w:color w:val="auto"/>
          <w:sz w:val="24"/>
          <w:szCs w:val="24"/>
          <w:highlight w:val="none"/>
          <w:lang w:val="zh-CN"/>
        </w:rPr>
      </w:pPr>
    </w:p>
    <w:p>
      <w:pPr>
        <w:rPr>
          <w:rFonts w:hint="eastAsia" w:ascii="黑体" w:hAnsi="黑体" w:eastAsia="黑体" w:cs="黑体"/>
          <w:color w:val="auto"/>
          <w:sz w:val="24"/>
          <w:szCs w:val="24"/>
          <w:highlight w:val="none"/>
          <w:lang w:val="zh-CN"/>
        </w:rPr>
      </w:pPr>
    </w:p>
    <w:p>
      <w:pPr>
        <w:pStyle w:val="13"/>
        <w:rPr>
          <w:rFonts w:hint="eastAsia"/>
          <w:color w:val="auto"/>
          <w:highlight w:val="none"/>
          <w:lang w:val="zh-CN"/>
        </w:rPr>
      </w:pPr>
    </w:p>
    <w:p>
      <w:pPr>
        <w:rPr>
          <w:rFonts w:hint="eastAsia" w:ascii="黑体" w:hAnsi="黑体" w:eastAsia="黑体" w:cs="黑体"/>
          <w:color w:val="auto"/>
          <w:sz w:val="24"/>
          <w:szCs w:val="24"/>
          <w:highlight w:val="none"/>
          <w:lang w:val="zh-CN"/>
        </w:rPr>
      </w:pPr>
    </w:p>
    <w:bookmarkEnd w:id="134"/>
    <w:p>
      <w:pPr>
        <w:spacing w:before="65" w:line="360" w:lineRule="auto"/>
        <w:ind w:left="0" w:leftChars="0" w:firstLine="0" w:firstLineChars="0"/>
        <w:outlineLvl w:val="0"/>
        <w:rPr>
          <w:rFonts w:ascii="黑体" w:hAnsi="黑体" w:eastAsia="黑体" w:cs="黑体"/>
          <w:color w:val="auto"/>
          <w:sz w:val="31"/>
          <w:szCs w:val="31"/>
          <w:highlight w:val="none"/>
        </w:rPr>
      </w:pPr>
      <w:bookmarkStart w:id="135" w:name="_Toc4407"/>
      <w:bookmarkStart w:id="136" w:name="_Toc20196"/>
      <w:bookmarkStart w:id="137" w:name="_Toc624"/>
      <w:bookmarkStart w:id="138" w:name="_Toc15608"/>
      <w:r>
        <w:rPr>
          <w:rFonts w:ascii="黑体" w:hAnsi="黑体" w:eastAsia="黑体" w:cs="黑体"/>
          <w:color w:val="auto"/>
          <w:spacing w:val="7"/>
          <w:sz w:val="31"/>
          <w:szCs w:val="31"/>
          <w:highlight w:val="none"/>
          <w14:textOutline w14:w="5793" w14:cap="sq" w14:cmpd="sng">
            <w14:solidFill>
              <w14:srgbClr w14:val="000000"/>
            </w14:solidFill>
            <w14:prstDash w14:val="solid"/>
            <w14:bevel/>
          </w14:textOutline>
        </w:rPr>
        <w:t>六、保障措施</w:t>
      </w:r>
      <w:bookmarkEnd w:id="135"/>
      <w:bookmarkEnd w:id="136"/>
      <w:bookmarkEnd w:id="137"/>
      <w:bookmarkEnd w:id="138"/>
    </w:p>
    <w:p>
      <w:pPr>
        <w:spacing w:before="244" w:line="360" w:lineRule="auto"/>
        <w:outlineLvl w:val="1"/>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pPr>
      <w:bookmarkStart w:id="139" w:name="_Toc30182"/>
      <w:bookmarkStart w:id="140" w:name="_Toc32322"/>
      <w:bookmarkStart w:id="141" w:name="_Toc25927"/>
      <w:bookmarkStart w:id="142" w:name="_Toc1386"/>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t>（一）强化</w:t>
      </w:r>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fldChar w:fldCharType="begin"/>
      </w:r>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instrText xml:space="preserve"> HYPERLINK \l _Toc17269 </w:instrText>
      </w:r>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fldChar w:fldCharType="separate"/>
      </w:r>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t>组织领导</w:t>
      </w:r>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fldChar w:fldCharType="end"/>
      </w:r>
      <w:bookmarkEnd w:id="139"/>
      <w:bookmarkEnd w:id="140"/>
      <w:bookmarkEnd w:id="141"/>
      <w:bookmarkEnd w:id="142"/>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县党委和政府、各部门要强化对生态文明建设和生态环境保护的组织领导，推进“党政同责、一岗双责”，落实好河湖长制，完善生态环境评价考核模式，提高生态文明、生态环境保护、绿色发展等指标在党政领导政绩考核与干部提拔中所占比重。在县党委政府领导下，生态环境、水利、发改、自然资源、工信、林草等部门统筹推进，组织编制规划研究报告及专项规划研究报告。策勒县生态环境局具体负责《规划》任务分解，策勒县人民政府组织实施，各各市、县、部门按照要求落实《规划》各项任务。各城镇、乡、部门每年将落实情况向县党委、县人民政府报告。</w:t>
      </w:r>
    </w:p>
    <w:p>
      <w:pPr>
        <w:spacing w:before="244" w:line="360" w:lineRule="auto"/>
        <w:outlineLvl w:val="1"/>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pPr>
      <w:bookmarkStart w:id="143" w:name="_Toc27529"/>
      <w:bookmarkStart w:id="144" w:name="_Toc8250"/>
      <w:bookmarkStart w:id="145" w:name="_Toc6959"/>
      <w:bookmarkStart w:id="146" w:name="_Toc19164"/>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t>（二）强化经济投入</w:t>
      </w:r>
      <w:bookmarkEnd w:id="143"/>
      <w:bookmarkEnd w:id="144"/>
      <w:bookmarkEnd w:id="145"/>
      <w:bookmarkEnd w:id="146"/>
    </w:p>
    <w:p>
      <w:pPr>
        <w:spacing w:line="360" w:lineRule="auto"/>
        <w:ind w:firstLine="640" w:firstLineChars="200"/>
        <w:jc w:val="both"/>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充分利用国家、自治区已有的水污染防治专项资金、土壤污染防治专项资金、农村环境综合整治专项资金、生态修复专项资金等生态环境专项资金渠道，争取税收等优惠政策。继续执行《新疆策勒县绿色项目认定办法》（试行），加大对绿色产业支持力度，使绿色产业享受绿色金融优惠政策，对《绿色产业指导目录（2019年版）》进行动态更新。加大对生态环境保护项目支持力度，鼓励企业对废水进行治理回用。制定工农业及生活用水限额，建立阶梯水价制度，对超过标准部分的用水提高水价。</w:t>
      </w:r>
    </w:p>
    <w:p>
      <w:pPr>
        <w:spacing w:before="244" w:line="360" w:lineRule="auto"/>
        <w:outlineLvl w:val="1"/>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pPr>
      <w:bookmarkStart w:id="147" w:name="_Toc14919"/>
      <w:bookmarkStart w:id="148" w:name="_Toc25296"/>
      <w:bookmarkStart w:id="149" w:name="_Toc9943"/>
      <w:bookmarkStart w:id="150" w:name="_Toc347"/>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t>（三）强化</w:t>
      </w:r>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fldChar w:fldCharType="begin"/>
      </w:r>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instrText xml:space="preserve"> HYPERLINK \l _Toc1978 </w:instrText>
      </w:r>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fldChar w:fldCharType="separate"/>
      </w:r>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t>科技支撑</w:t>
      </w:r>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fldChar w:fldCharType="end"/>
      </w:r>
      <w:bookmarkEnd w:id="147"/>
      <w:bookmarkEnd w:id="148"/>
      <w:bookmarkEnd w:id="149"/>
      <w:bookmarkEnd w:id="150"/>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tab/>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发挥企业、高校、研究院所作用，对流域水资源调度进行研究，建立兼顾工农业、生活用水和生态用水调控模式，合理利用水资源；加强城市与工业污染治理、农村面源污染治理，农膜回收和大宗固体废弃物等资源化利用技术研发，重点研发农村生活污水低成本高标准治理技术、城镇生活污水深度处理回用技术、高盐废水脱盐回用技术、农业节水灌溉等水资源高效利用利用和污染减排技术，提升污染防治和流域水生态环境保护的科学化、信息化和精细化水平。</w:t>
      </w:r>
    </w:p>
    <w:p>
      <w:pPr>
        <w:spacing w:before="244" w:line="360" w:lineRule="auto"/>
        <w:outlineLvl w:val="1"/>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pPr>
      <w:bookmarkStart w:id="151" w:name="_Toc12334"/>
      <w:bookmarkStart w:id="152" w:name="_Toc3486"/>
      <w:bookmarkStart w:id="153" w:name="_Toc13154"/>
      <w:bookmarkStart w:id="154" w:name="_Toc14042"/>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t>（四）强化评估考核</w:t>
      </w:r>
      <w:bookmarkEnd w:id="151"/>
      <w:bookmarkEnd w:id="152"/>
      <w:bookmarkEnd w:id="153"/>
      <w:bookmarkEnd w:id="154"/>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积极开展水生态状况和生态流量监测，建立流域上下游协作和不同部门协作机制。将《规划》目标、任务及重点工程分解到各级政府与相关部门，明确牵头和配合部门及其责任。建立《规划》实施评估考核制度，对《规划》实行年度评估考核，考核结果向社会公开。将目标任务完成情况的评估考核结果作为综合目标管理、评先创优和领导干部选拔任用的重要依据。</w:t>
      </w:r>
    </w:p>
    <w:p>
      <w:pPr>
        <w:spacing w:before="244" w:line="360" w:lineRule="auto"/>
        <w:outlineLvl w:val="1"/>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pPr>
      <w:bookmarkStart w:id="155" w:name="_Toc14281"/>
      <w:bookmarkStart w:id="156" w:name="_Toc26491"/>
      <w:bookmarkStart w:id="157" w:name="_Toc22800"/>
      <w:bookmarkStart w:id="158" w:name="_Toc26928"/>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t>（五）</w:t>
      </w:r>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fldChar w:fldCharType="begin"/>
      </w:r>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instrText xml:space="preserve"> HYPERLINK \l _Toc18121 </w:instrText>
      </w:r>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fldChar w:fldCharType="separate"/>
      </w:r>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t>公众参与</w:t>
      </w:r>
      <w:r>
        <w:rPr>
          <w:rFonts w:hint="eastAsia" w:ascii="楷体" w:hAnsi="楷体" w:eastAsia="楷体" w:cs="楷体"/>
          <w:color w:val="auto"/>
          <w:spacing w:val="25"/>
          <w:sz w:val="31"/>
          <w:szCs w:val="31"/>
          <w:highlight w:val="none"/>
          <w:lang w:val="en-US" w:eastAsia="zh-CN"/>
          <w14:textOutline w14:w="5793" w14:cap="sq" w14:cmpd="sng">
            <w14:solidFill>
              <w14:srgbClr w14:val="000000"/>
            </w14:solidFill>
            <w14:prstDash w14:val="solid"/>
            <w14:bevel/>
          </w14:textOutline>
        </w:rPr>
        <w:fldChar w:fldCharType="end"/>
      </w:r>
      <w:bookmarkEnd w:id="155"/>
      <w:bookmarkEnd w:id="156"/>
      <w:bookmarkEnd w:id="157"/>
      <w:bookmarkEnd w:id="158"/>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充分利用现代化信息技术手段，拓宽公众参与渠道，加大宣传力度，建立激励机制，引导公众在流域水环境保护建言献策、污染源排放监督等方面积极参与。按照规定的内容和时间对水环境质量状况和饮用水水源地水质状况进行公开，对国家和自治区重点排污单位进行公开，定期对“规划”的实施情况进行公开，切实保障公众的知情权、参与权和监督权，充分发挥12369和网络平台作用，积极回应和解决群众反映的问题，充分听取公众对重大决策和重大项目的意见。</w:t>
      </w: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p>
    <w:p>
      <w:pPr>
        <w:spacing w:line="360" w:lineRule="auto"/>
        <w:ind w:firstLine="640" w:firstLineChars="200"/>
        <w:jc w:val="both"/>
        <w:rPr>
          <w:rFonts w:hint="eastAsia" w:ascii="仿宋_GB2312" w:hAnsi="仿宋_GB2312" w:eastAsia="仿宋_GB2312" w:cs="仿宋_GB2312"/>
          <w:color w:val="auto"/>
          <w:sz w:val="32"/>
          <w:szCs w:val="32"/>
          <w:highlight w:val="none"/>
          <w:lang w:val="en-US" w:eastAsia="zh-CN"/>
        </w:rPr>
      </w:pPr>
    </w:p>
    <w:p>
      <w:pPr>
        <w:keepNext/>
        <w:keepLines w:val="0"/>
        <w:pageBreakBefore w:val="0"/>
        <w:widowControl w:val="0"/>
        <w:kinsoku/>
        <w:wordWrap/>
        <w:overflowPunct/>
        <w:topLinePunct w:val="0"/>
        <w:autoSpaceDE/>
        <w:autoSpaceDN/>
        <w:bidi w:val="0"/>
        <w:adjustRightInd w:val="0"/>
        <w:snapToGrid w:val="0"/>
        <w:spacing w:before="156" w:beforeLines="50" w:line="240" w:lineRule="auto"/>
        <w:ind w:firstLine="0" w:firstLineChars="0"/>
        <w:jc w:val="both"/>
        <w:textAlignment w:val="auto"/>
        <w:outlineLvl w:val="0"/>
        <w:rPr>
          <w:rFonts w:hint="eastAsia" w:ascii="黑体" w:hAnsi="黑体" w:eastAsia="黑体" w:cs="黑体"/>
          <w:color w:val="auto"/>
          <w:spacing w:val="7"/>
          <w:sz w:val="31"/>
          <w:szCs w:val="31"/>
          <w:highlight w:val="none"/>
          <w:lang w:eastAsia="zh-CN"/>
          <w14:textOutline w14:w="5793" w14:cap="sq" w14:cmpd="sng">
            <w14:solidFill>
              <w14:srgbClr w14:val="000000"/>
            </w14:solidFill>
            <w14:prstDash w14:val="solid"/>
            <w14:bevel/>
          </w14:textOutline>
        </w:rPr>
      </w:pPr>
      <w:bookmarkStart w:id="159" w:name="_Toc30200"/>
      <w:bookmarkStart w:id="160" w:name="_Toc24412"/>
      <w:bookmarkStart w:id="161" w:name="_Toc3593"/>
      <w:bookmarkStart w:id="162" w:name="_Toc16584"/>
      <w:r>
        <w:rPr>
          <w:rFonts w:hint="eastAsia" w:ascii="黑体" w:hAnsi="黑体" w:eastAsia="黑体" w:cs="黑体"/>
          <w:color w:val="auto"/>
          <w:spacing w:val="7"/>
          <w:sz w:val="31"/>
          <w:szCs w:val="31"/>
          <w:highlight w:val="none"/>
          <w:lang w:eastAsia="zh-CN"/>
          <w14:textOutline w14:w="5793" w14:cap="sq" w14:cmpd="sng">
            <w14:solidFill>
              <w14:srgbClr w14:val="000000"/>
            </w14:solidFill>
            <w14:prstDash w14:val="solid"/>
            <w14:bevel/>
          </w14:textOutline>
        </w:rPr>
        <w:t>附表</w:t>
      </w:r>
      <w:bookmarkEnd w:id="159"/>
      <w:bookmarkEnd w:id="160"/>
      <w:bookmarkEnd w:id="161"/>
      <w:bookmarkEnd w:id="162"/>
    </w:p>
    <w:p>
      <w:pPr>
        <w:keepNext/>
        <w:keepLines w:val="0"/>
        <w:pageBreakBefore w:val="0"/>
        <w:widowControl w:val="0"/>
        <w:kinsoku/>
        <w:wordWrap/>
        <w:overflowPunct/>
        <w:topLinePunct w:val="0"/>
        <w:autoSpaceDE/>
        <w:autoSpaceDN/>
        <w:bidi w:val="0"/>
        <w:adjustRightInd w:val="0"/>
        <w:snapToGrid w:val="0"/>
        <w:spacing w:before="156" w:beforeLines="50" w:line="240" w:lineRule="auto"/>
        <w:ind w:firstLine="0" w:firstLineChars="0"/>
        <w:jc w:val="both"/>
        <w:textAlignment w:val="auto"/>
        <w:outlineLvl w:val="9"/>
        <w:rPr>
          <w:rFonts w:hint="eastAsia" w:ascii="黑体" w:hAnsi="黑体" w:eastAsia="黑体" w:cs="黑体"/>
          <w:color w:val="auto"/>
          <w:spacing w:val="7"/>
          <w:sz w:val="31"/>
          <w:szCs w:val="31"/>
          <w:highlight w:val="none"/>
          <w:lang w:eastAsia="zh-CN"/>
          <w14:textOutline w14:w="5793" w14:cap="sq" w14:cmpd="sng">
            <w14:solidFill>
              <w14:srgbClr w14:val="000000"/>
            </w14:solidFill>
            <w14:prstDash w14:val="solid"/>
            <w14:bevel/>
          </w14:textOutline>
        </w:rPr>
      </w:pPr>
      <w:r>
        <w:rPr>
          <w:rFonts w:hint="eastAsia" w:ascii="黑体" w:hAnsi="黑体" w:eastAsia="黑体" w:cs="黑体"/>
          <w:color w:val="auto"/>
          <w:spacing w:val="7"/>
          <w:sz w:val="31"/>
          <w:szCs w:val="31"/>
          <w:highlight w:val="none"/>
          <w:lang w:val="en-US" w:eastAsia="zh-CN"/>
          <w14:textOutline w14:w="5793" w14:cap="sq" w14:cmpd="sng">
            <w14:solidFill>
              <w14:srgbClr w14:val="000000"/>
            </w14:solidFill>
            <w14:prstDash w14:val="solid"/>
            <w14:bevel/>
          </w14:textOutline>
        </w:rPr>
        <w:t xml:space="preserve">  </w:t>
      </w:r>
      <w:r>
        <w:rPr>
          <w:rFonts w:hint="eastAsia" w:ascii="黑体" w:hAnsi="黑体" w:eastAsia="黑体" w:cs="黑体"/>
          <w:color w:val="auto"/>
          <w:spacing w:val="7"/>
          <w:sz w:val="31"/>
          <w:szCs w:val="31"/>
          <w:highlight w:val="none"/>
          <w:lang w:eastAsia="zh-CN"/>
          <w14:textOutline w14:w="5793" w14:cap="sq" w14:cmpd="sng">
            <w14:solidFill>
              <w14:srgbClr w14:val="000000"/>
            </w14:solidFill>
            <w14:prstDash w14:val="solid"/>
            <w14:bevel/>
          </w14:textOutline>
        </w:rPr>
        <w:t xml:space="preserve"> </w:t>
      </w:r>
      <w:r>
        <w:rPr>
          <w:rFonts w:hint="eastAsia" w:ascii="黑体" w:hAnsi="黑体" w:eastAsia="黑体" w:cs="黑体"/>
          <w:color w:val="auto"/>
          <w:spacing w:val="7"/>
          <w:sz w:val="31"/>
          <w:szCs w:val="31"/>
          <w:highlight w:val="none"/>
          <w:lang w:val="en-US" w:eastAsia="zh-CN"/>
          <w14:textOutline w14:w="5793" w14:cap="sq" w14:cmpd="sng">
            <w14:solidFill>
              <w14:srgbClr w14:val="000000"/>
            </w14:solidFill>
            <w14:prstDash w14:val="solid"/>
            <w14:bevel/>
          </w14:textOutline>
        </w:rPr>
        <w:t xml:space="preserve">    表1     </w:t>
      </w:r>
      <w:r>
        <w:rPr>
          <w:rFonts w:hint="eastAsia" w:ascii="黑体" w:hAnsi="黑体" w:eastAsia="黑体" w:cs="黑体"/>
          <w:color w:val="auto"/>
          <w:spacing w:val="7"/>
          <w:sz w:val="31"/>
          <w:szCs w:val="31"/>
          <w:highlight w:val="none"/>
          <w:lang w:eastAsia="zh-CN"/>
          <w14:textOutline w14:w="5793" w14:cap="sq" w14:cmpd="sng">
            <w14:solidFill>
              <w14:srgbClr w14:val="000000"/>
            </w14:solidFill>
            <w14:prstDash w14:val="solid"/>
            <w14:bevel/>
          </w14:textOutline>
        </w:rPr>
        <w:t>流域及控制单元划分情况表</w:t>
      </w:r>
    </w:p>
    <w:tbl>
      <w:tblPr>
        <w:tblStyle w:val="26"/>
        <w:tblW w:w="8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90"/>
        <w:gridCol w:w="1710"/>
        <w:gridCol w:w="870"/>
        <w:gridCol w:w="2270"/>
        <w:gridCol w:w="1010"/>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29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流域名称</w:t>
            </w:r>
          </w:p>
        </w:tc>
        <w:tc>
          <w:tcPr>
            <w:tcW w:w="171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控制单元</w:t>
            </w:r>
          </w:p>
        </w:tc>
        <w:tc>
          <w:tcPr>
            <w:tcW w:w="87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主要河流</w:t>
            </w:r>
          </w:p>
        </w:tc>
        <w:tc>
          <w:tcPr>
            <w:tcW w:w="227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行政区划</w:t>
            </w:r>
          </w:p>
        </w:tc>
        <w:tc>
          <w:tcPr>
            <w:tcW w:w="101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区控、国控断面</w:t>
            </w:r>
          </w:p>
        </w:tc>
        <w:tc>
          <w:tcPr>
            <w:tcW w:w="1186"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年径流量（亿m</w:t>
            </w:r>
            <w:r>
              <w:rPr>
                <w:rFonts w:hint="eastAsia" w:ascii="仿宋" w:hAnsi="仿宋" w:eastAsia="仿宋" w:cs="仿宋"/>
                <w:color w:val="auto"/>
                <w:kern w:val="0"/>
                <w:sz w:val="22"/>
                <w:szCs w:val="22"/>
                <w:highlight w:val="none"/>
                <w:vertAlign w:val="superscript"/>
                <w:lang w:val="en-US" w:eastAsia="zh-CN" w:bidi="ar"/>
              </w:rPr>
              <w:t>3</w:t>
            </w:r>
            <w:r>
              <w:rPr>
                <w:rFonts w:hint="eastAsia" w:ascii="仿宋" w:hAnsi="仿宋" w:eastAsia="仿宋" w:cs="仿宋"/>
                <w:color w:val="auto"/>
                <w:kern w:val="0"/>
                <w:sz w:val="22"/>
                <w:szCs w:val="22"/>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290" w:type="dxa"/>
            <w:vMerge w:val="restart"/>
            <w:shd w:val="clear" w:color="auto" w:fill="auto"/>
            <w:noWrap/>
            <w:tcMar>
              <w:top w:w="15" w:type="dxa"/>
              <w:left w:w="15" w:type="dxa"/>
              <w:right w:w="15" w:type="dxa"/>
            </w:tcMar>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r>
              <w:rPr>
                <w:rFonts w:hint="eastAsia" w:ascii="仿宋" w:hAnsi="仿宋" w:eastAsia="仿宋" w:cs="仿宋"/>
                <w:color w:val="auto"/>
                <w:kern w:val="0"/>
                <w:sz w:val="22"/>
                <w:szCs w:val="22"/>
                <w:highlight w:val="none"/>
                <w:lang w:val="en-US" w:eastAsia="zh-CN" w:bidi="ar"/>
              </w:rPr>
              <w:t>克里雅河诸小河流域</w:t>
            </w:r>
          </w:p>
        </w:tc>
        <w:tc>
          <w:tcPr>
            <w:tcW w:w="1710" w:type="dxa"/>
            <w:vMerge w:val="restart"/>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克里雅河策勒县控制单元</w:t>
            </w:r>
          </w:p>
        </w:tc>
        <w:tc>
          <w:tcPr>
            <w:tcW w:w="87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策勒河</w:t>
            </w:r>
          </w:p>
        </w:tc>
        <w:tc>
          <w:tcPr>
            <w:tcW w:w="227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b/>
                <w:bCs/>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eastAsia="zh-CN" w:bidi="ar"/>
              </w:rPr>
              <w:t>策勒镇、策勒乡、达玛沟乡、恰恰乡</w:t>
            </w:r>
          </w:p>
        </w:tc>
        <w:tc>
          <w:tcPr>
            <w:tcW w:w="101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无</w:t>
            </w:r>
          </w:p>
        </w:tc>
        <w:tc>
          <w:tcPr>
            <w:tcW w:w="1186"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default" w:ascii="仿宋" w:hAnsi="仿宋" w:eastAsia="仿宋" w:cs="仿宋"/>
                <w:color w:val="auto"/>
                <w:kern w:val="0"/>
                <w:sz w:val="22"/>
                <w:szCs w:val="22"/>
                <w:highlight w:val="none"/>
                <w:lang w:val="en-US" w:eastAsia="zh-CN" w:bidi="ar"/>
              </w:rPr>
              <w:t>1.459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290"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p>
        </w:tc>
        <w:tc>
          <w:tcPr>
            <w:tcW w:w="1710"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p>
        </w:tc>
        <w:tc>
          <w:tcPr>
            <w:tcW w:w="87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恰哈河</w:t>
            </w:r>
          </w:p>
        </w:tc>
        <w:tc>
          <w:tcPr>
            <w:tcW w:w="227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恰恰乡、达玛沟乡</w:t>
            </w:r>
          </w:p>
        </w:tc>
        <w:tc>
          <w:tcPr>
            <w:tcW w:w="101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无</w:t>
            </w:r>
          </w:p>
        </w:tc>
        <w:tc>
          <w:tcPr>
            <w:tcW w:w="1186"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290"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p>
        </w:tc>
        <w:tc>
          <w:tcPr>
            <w:tcW w:w="1710"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p>
        </w:tc>
        <w:tc>
          <w:tcPr>
            <w:tcW w:w="87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乌鲁克萨依河</w:t>
            </w:r>
          </w:p>
        </w:tc>
        <w:tc>
          <w:tcPr>
            <w:tcW w:w="227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乌鲁克萨依乡</w:t>
            </w:r>
          </w:p>
        </w:tc>
        <w:tc>
          <w:tcPr>
            <w:tcW w:w="101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无</w:t>
            </w:r>
          </w:p>
        </w:tc>
        <w:tc>
          <w:tcPr>
            <w:tcW w:w="1186"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1.371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290"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p>
        </w:tc>
        <w:tc>
          <w:tcPr>
            <w:tcW w:w="1710"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p>
        </w:tc>
        <w:tc>
          <w:tcPr>
            <w:tcW w:w="87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奴尔河</w:t>
            </w:r>
          </w:p>
        </w:tc>
        <w:tc>
          <w:tcPr>
            <w:tcW w:w="227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奴尔乡、固拉哈玛镇</w:t>
            </w:r>
          </w:p>
        </w:tc>
        <w:tc>
          <w:tcPr>
            <w:tcW w:w="101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无</w:t>
            </w:r>
          </w:p>
        </w:tc>
        <w:tc>
          <w:tcPr>
            <w:tcW w:w="1186"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1.835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290"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p>
        </w:tc>
        <w:tc>
          <w:tcPr>
            <w:tcW w:w="1710"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p>
        </w:tc>
        <w:tc>
          <w:tcPr>
            <w:tcW w:w="87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萨依巴格河</w:t>
            </w:r>
          </w:p>
        </w:tc>
        <w:tc>
          <w:tcPr>
            <w:tcW w:w="227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固拉哈玛镇</w:t>
            </w:r>
          </w:p>
        </w:tc>
        <w:tc>
          <w:tcPr>
            <w:tcW w:w="101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无</w:t>
            </w:r>
          </w:p>
        </w:tc>
        <w:tc>
          <w:tcPr>
            <w:tcW w:w="1186"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0.3231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290"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p>
        </w:tc>
        <w:tc>
          <w:tcPr>
            <w:tcW w:w="1710"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p>
        </w:tc>
        <w:tc>
          <w:tcPr>
            <w:tcW w:w="87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布藏河</w:t>
            </w:r>
          </w:p>
        </w:tc>
        <w:tc>
          <w:tcPr>
            <w:tcW w:w="227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达玛沟乡</w:t>
            </w:r>
          </w:p>
        </w:tc>
        <w:tc>
          <w:tcPr>
            <w:tcW w:w="101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无</w:t>
            </w:r>
          </w:p>
        </w:tc>
        <w:tc>
          <w:tcPr>
            <w:tcW w:w="1186"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290"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p>
        </w:tc>
        <w:tc>
          <w:tcPr>
            <w:tcW w:w="1710"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p>
        </w:tc>
        <w:tc>
          <w:tcPr>
            <w:tcW w:w="87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阿克萨音河</w:t>
            </w:r>
          </w:p>
        </w:tc>
        <w:tc>
          <w:tcPr>
            <w:tcW w:w="227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博斯坦乡</w:t>
            </w:r>
          </w:p>
        </w:tc>
        <w:tc>
          <w:tcPr>
            <w:tcW w:w="101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无</w:t>
            </w:r>
          </w:p>
        </w:tc>
        <w:tc>
          <w:tcPr>
            <w:tcW w:w="1186"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val="en-US" w:eastAsia="zh-CN" w:bidi="ar"/>
              </w:rPr>
              <w:t>0.3627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290"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ascii="仿宋" w:hAnsi="仿宋" w:eastAsia="仿宋" w:cs="仿宋"/>
                <w:color w:val="auto"/>
                <w:kern w:val="0"/>
                <w:sz w:val="22"/>
                <w:szCs w:val="22"/>
                <w:highlight w:val="none"/>
                <w:lang w:bidi="ar"/>
              </w:rPr>
            </w:pPr>
          </w:p>
        </w:tc>
        <w:tc>
          <w:tcPr>
            <w:tcW w:w="1710" w:type="dxa"/>
            <w:vMerge w:val="continue"/>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p>
        </w:tc>
        <w:tc>
          <w:tcPr>
            <w:tcW w:w="87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卡尔苏河</w:t>
            </w:r>
          </w:p>
        </w:tc>
        <w:tc>
          <w:tcPr>
            <w:tcW w:w="227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博斯坦乡</w:t>
            </w:r>
          </w:p>
        </w:tc>
        <w:tc>
          <w:tcPr>
            <w:tcW w:w="101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无</w:t>
            </w:r>
          </w:p>
        </w:tc>
        <w:tc>
          <w:tcPr>
            <w:tcW w:w="1186" w:type="dxa"/>
            <w:shd w:val="clear" w:color="auto" w:fill="auto"/>
            <w:noWrap/>
            <w:tcMar>
              <w:top w:w="15" w:type="dxa"/>
              <w:left w:w="15" w:type="dxa"/>
              <w:right w:w="15" w:type="dxa"/>
            </w:tcMar>
            <w:vAlign w:val="center"/>
          </w:tcPr>
          <w:p>
            <w:pPr>
              <w:widowControl/>
              <w:spacing w:line="240" w:lineRule="auto"/>
              <w:ind w:firstLine="0" w:firstLineChars="0"/>
              <w:jc w:val="center"/>
              <w:rPr>
                <w:rFonts w:hint="default"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0.132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 w:hRule="atLeast"/>
        </w:trPr>
        <w:tc>
          <w:tcPr>
            <w:tcW w:w="129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和田河流域</w:t>
            </w:r>
          </w:p>
        </w:tc>
        <w:tc>
          <w:tcPr>
            <w:tcW w:w="171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玉龙喀什河策勒县控制单元</w:t>
            </w:r>
          </w:p>
        </w:tc>
        <w:tc>
          <w:tcPr>
            <w:tcW w:w="87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玉龙喀什河</w:t>
            </w:r>
          </w:p>
        </w:tc>
        <w:tc>
          <w:tcPr>
            <w:tcW w:w="2270"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eastAsia="zh-CN" w:bidi="ar"/>
              </w:rPr>
            </w:pPr>
            <w:r>
              <w:rPr>
                <w:rFonts w:hint="eastAsia" w:ascii="仿宋" w:hAnsi="仿宋" w:eastAsia="仿宋" w:cs="仿宋"/>
                <w:color w:val="auto"/>
                <w:kern w:val="0"/>
                <w:sz w:val="22"/>
                <w:szCs w:val="22"/>
                <w:highlight w:val="none"/>
                <w:lang w:eastAsia="zh-CN" w:bidi="ar"/>
              </w:rPr>
              <w:t>恰恰乡</w:t>
            </w:r>
          </w:p>
        </w:tc>
        <w:tc>
          <w:tcPr>
            <w:tcW w:w="1010" w:type="dxa"/>
            <w:shd w:val="clear" w:color="auto" w:fill="auto"/>
            <w:noWrap/>
            <w:tcMar>
              <w:top w:w="15" w:type="dxa"/>
              <w:left w:w="15" w:type="dxa"/>
              <w:right w:w="15" w:type="dxa"/>
            </w:tcMar>
            <w:vAlign w:val="center"/>
          </w:tcPr>
          <w:p>
            <w:pPr>
              <w:widowControl/>
              <w:spacing w:line="240" w:lineRule="auto"/>
              <w:ind w:firstLine="0" w:firstLineChars="0"/>
              <w:jc w:val="center"/>
              <w:rPr>
                <w:rFonts w:hint="default"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w:t>
            </w:r>
          </w:p>
        </w:tc>
        <w:tc>
          <w:tcPr>
            <w:tcW w:w="1186" w:type="dxa"/>
            <w:shd w:val="clear" w:color="auto" w:fill="auto"/>
            <w:noWrap/>
            <w:tcMar>
              <w:top w:w="15" w:type="dxa"/>
              <w:left w:w="15" w:type="dxa"/>
              <w:right w:w="15" w:type="dxa"/>
            </w:tcMar>
            <w:vAlign w:val="center"/>
          </w:tcPr>
          <w:p>
            <w:pPr>
              <w:widowControl/>
              <w:spacing w:line="240" w:lineRule="auto"/>
              <w:ind w:firstLine="0" w:firstLineChars="0"/>
              <w:jc w:val="center"/>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w:t>
            </w:r>
          </w:p>
        </w:tc>
      </w:tr>
    </w:tbl>
    <w:p>
      <w:pPr>
        <w:pStyle w:val="13"/>
        <w:ind w:firstLine="480"/>
        <w:rPr>
          <w:color w:val="auto"/>
          <w:highlight w:val="none"/>
        </w:rPr>
      </w:pPr>
    </w:p>
    <w:p>
      <w:pPr>
        <w:spacing w:before="156" w:beforeLines="50" w:line="240" w:lineRule="auto"/>
        <w:ind w:firstLine="0" w:firstLineChars="0"/>
        <w:jc w:val="center"/>
        <w:rPr>
          <w:rFonts w:hint="eastAsia" w:ascii="黑体" w:hAnsi="黑体" w:eastAsia="黑体" w:cs="黑体"/>
          <w:color w:val="auto"/>
          <w:spacing w:val="7"/>
          <w:sz w:val="31"/>
          <w:szCs w:val="31"/>
          <w:highlight w:val="none"/>
          <w:lang w:eastAsia="zh-CN"/>
          <w14:textOutline w14:w="5793" w14:cap="sq" w14:cmpd="sng">
            <w14:solidFill>
              <w14:srgbClr w14:val="000000"/>
            </w14:solidFill>
            <w14:prstDash w14:val="solid"/>
            <w14:bevel/>
          </w14:textOutline>
        </w:rPr>
      </w:pPr>
      <w:r>
        <w:rPr>
          <w:rFonts w:hint="eastAsia" w:ascii="黑体" w:hAnsi="黑体" w:eastAsia="黑体" w:cs="黑体"/>
          <w:color w:val="auto"/>
          <w:spacing w:val="7"/>
          <w:sz w:val="31"/>
          <w:szCs w:val="31"/>
          <w:highlight w:val="none"/>
          <w:lang w:eastAsia="zh-CN"/>
          <w14:textOutline w14:w="5793" w14:cap="sq" w14:cmpd="sng">
            <w14:solidFill>
              <w14:srgbClr w14:val="000000"/>
            </w14:solidFill>
            <w14:prstDash w14:val="solid"/>
            <w14:bevel/>
          </w14:textOutline>
        </w:rPr>
        <w:t>表</w:t>
      </w:r>
      <w:r>
        <w:rPr>
          <w:rFonts w:hint="eastAsia" w:ascii="黑体" w:hAnsi="黑体" w:eastAsia="黑体" w:cs="黑体"/>
          <w:color w:val="auto"/>
          <w:spacing w:val="7"/>
          <w:sz w:val="31"/>
          <w:szCs w:val="31"/>
          <w:highlight w:val="none"/>
          <w:lang w:val="en-US" w:eastAsia="zh-CN"/>
          <w14:textOutline w14:w="5793" w14:cap="sq" w14:cmpd="sng">
            <w14:solidFill>
              <w14:srgbClr w14:val="000000"/>
            </w14:solidFill>
            <w14:prstDash w14:val="solid"/>
            <w14:bevel/>
          </w14:textOutline>
        </w:rPr>
        <w:t xml:space="preserve">2 </w:t>
      </w:r>
      <w:bookmarkStart w:id="163" w:name="_Toc43324311"/>
      <w:bookmarkStart w:id="164" w:name="_Toc43378180"/>
      <w:bookmarkStart w:id="165" w:name="_Toc21332"/>
      <w:bookmarkStart w:id="166" w:name="_Toc26173441"/>
      <w:bookmarkStart w:id="167" w:name="_Toc43368923"/>
      <w:r>
        <w:rPr>
          <w:rFonts w:hint="eastAsia" w:ascii="黑体" w:hAnsi="黑体" w:eastAsia="黑体" w:cs="黑体"/>
          <w:color w:val="auto"/>
          <w:spacing w:val="7"/>
          <w:sz w:val="31"/>
          <w:szCs w:val="31"/>
          <w:highlight w:val="none"/>
          <w:lang w:eastAsia="zh-CN"/>
          <w14:textOutline w14:w="5793" w14:cap="sq" w14:cmpd="sng">
            <w14:solidFill>
              <w14:srgbClr w14:val="000000"/>
            </w14:solidFill>
            <w14:prstDash w14:val="solid"/>
            <w14:bevel/>
          </w14:textOutline>
        </w:rPr>
        <w:t xml:space="preserve"> </w:t>
      </w:r>
      <w:r>
        <w:rPr>
          <w:rFonts w:hint="eastAsia" w:ascii="黑体" w:hAnsi="黑体" w:eastAsia="黑体" w:cs="黑体"/>
          <w:color w:val="auto"/>
          <w:spacing w:val="7"/>
          <w:sz w:val="31"/>
          <w:szCs w:val="31"/>
          <w:highlight w:val="none"/>
          <w:lang w:val="en-US" w:eastAsia="zh-CN"/>
          <w14:textOutline w14:w="5793" w14:cap="sq" w14:cmpd="sng">
            <w14:solidFill>
              <w14:srgbClr w14:val="000000"/>
            </w14:solidFill>
            <w14:prstDash w14:val="solid"/>
            <w14:bevel/>
          </w14:textOutline>
        </w:rPr>
        <w:t xml:space="preserve">  </w:t>
      </w:r>
      <w:r>
        <w:rPr>
          <w:rFonts w:hint="eastAsia" w:ascii="黑体" w:hAnsi="黑体" w:eastAsia="黑体" w:cs="黑体"/>
          <w:color w:val="auto"/>
          <w:spacing w:val="7"/>
          <w:sz w:val="31"/>
          <w:szCs w:val="31"/>
          <w:highlight w:val="none"/>
          <w:lang w:eastAsia="zh-CN"/>
          <w14:textOutline w14:w="5793" w14:cap="sq" w14:cmpd="sng">
            <w14:solidFill>
              <w14:srgbClr w14:val="000000"/>
            </w14:solidFill>
            <w14:prstDash w14:val="solid"/>
            <w14:bevel/>
          </w14:textOutline>
        </w:rPr>
        <w:t>“十四五”县控断面水质目标清单</w:t>
      </w:r>
      <w:bookmarkEnd w:id="163"/>
      <w:bookmarkEnd w:id="164"/>
      <w:bookmarkEnd w:id="165"/>
      <w:bookmarkEnd w:id="166"/>
      <w:bookmarkEnd w:id="167"/>
    </w:p>
    <w:tbl>
      <w:tblPr>
        <w:tblStyle w:val="26"/>
        <w:tblW w:w="8519"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56"/>
        <w:gridCol w:w="574"/>
        <w:gridCol w:w="1153"/>
        <w:gridCol w:w="1536"/>
        <w:gridCol w:w="1642"/>
        <w:gridCol w:w="1096"/>
        <w:gridCol w:w="931"/>
        <w:gridCol w:w="93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781" w:hRule="exact"/>
          <w:tblHeader/>
          <w:jc w:val="center"/>
        </w:trPr>
        <w:tc>
          <w:tcPr>
            <w:tcW w:w="656"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序号</w:t>
            </w:r>
          </w:p>
        </w:tc>
        <w:tc>
          <w:tcPr>
            <w:tcW w:w="574"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流域</w:t>
            </w:r>
          </w:p>
        </w:tc>
        <w:tc>
          <w:tcPr>
            <w:tcW w:w="1153"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水系</w:t>
            </w:r>
          </w:p>
        </w:tc>
        <w:tc>
          <w:tcPr>
            <w:tcW w:w="1536"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所在河流</w:t>
            </w:r>
          </w:p>
        </w:tc>
        <w:tc>
          <w:tcPr>
            <w:tcW w:w="1642"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断面名称</w:t>
            </w:r>
          </w:p>
        </w:tc>
        <w:tc>
          <w:tcPr>
            <w:tcW w:w="1096"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断面属性</w:t>
            </w:r>
          </w:p>
        </w:tc>
        <w:tc>
          <w:tcPr>
            <w:tcW w:w="93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2020年</w:t>
            </w:r>
          </w:p>
        </w:tc>
        <w:tc>
          <w:tcPr>
            <w:tcW w:w="93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2025年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62" w:hRule="exact"/>
          <w:jc w:val="center"/>
        </w:trPr>
        <w:tc>
          <w:tcPr>
            <w:tcW w:w="656"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1</w:t>
            </w:r>
          </w:p>
        </w:tc>
        <w:tc>
          <w:tcPr>
            <w:tcW w:w="574"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内流区</w:t>
            </w:r>
          </w:p>
        </w:tc>
        <w:tc>
          <w:tcPr>
            <w:tcW w:w="1153"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塔里木</w:t>
            </w:r>
            <w:r>
              <w:rPr>
                <w:rFonts w:hint="eastAsia" w:ascii="仿宋" w:hAnsi="仿宋" w:eastAsia="仿宋" w:cs="仿宋"/>
                <w:color w:val="auto"/>
                <w:kern w:val="0"/>
                <w:sz w:val="22"/>
                <w:szCs w:val="22"/>
                <w:highlight w:val="none"/>
              </w:rPr>
              <w:t>内流区</w:t>
            </w:r>
          </w:p>
        </w:tc>
        <w:tc>
          <w:tcPr>
            <w:tcW w:w="1536"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策勒河</w:t>
            </w:r>
          </w:p>
        </w:tc>
        <w:tc>
          <w:tcPr>
            <w:tcW w:w="1642"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喀拉塔什</w:t>
            </w:r>
          </w:p>
        </w:tc>
        <w:tc>
          <w:tcPr>
            <w:tcW w:w="1096"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县控</w:t>
            </w:r>
          </w:p>
        </w:tc>
        <w:tc>
          <w:tcPr>
            <w:tcW w:w="93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Ⅱ</w:t>
            </w:r>
          </w:p>
        </w:tc>
        <w:tc>
          <w:tcPr>
            <w:tcW w:w="93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Ⅱ</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468" w:hRule="exact"/>
          <w:jc w:val="center"/>
        </w:trPr>
        <w:tc>
          <w:tcPr>
            <w:tcW w:w="656"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2</w:t>
            </w:r>
          </w:p>
        </w:tc>
        <w:tc>
          <w:tcPr>
            <w:tcW w:w="574"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内流区</w:t>
            </w:r>
          </w:p>
        </w:tc>
        <w:tc>
          <w:tcPr>
            <w:tcW w:w="1153"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塔里木</w:t>
            </w:r>
            <w:r>
              <w:rPr>
                <w:rFonts w:hint="eastAsia" w:ascii="仿宋" w:hAnsi="仿宋" w:eastAsia="仿宋" w:cs="仿宋"/>
                <w:color w:val="auto"/>
                <w:kern w:val="0"/>
                <w:sz w:val="22"/>
                <w:szCs w:val="22"/>
                <w:highlight w:val="none"/>
              </w:rPr>
              <w:t>内流区</w:t>
            </w:r>
          </w:p>
        </w:tc>
        <w:tc>
          <w:tcPr>
            <w:tcW w:w="1536"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恰恰河</w:t>
            </w:r>
          </w:p>
        </w:tc>
        <w:tc>
          <w:tcPr>
            <w:tcW w:w="1642"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w:t>
            </w:r>
          </w:p>
        </w:tc>
        <w:tc>
          <w:tcPr>
            <w:tcW w:w="1096" w:type="dxa"/>
            <w:tcBorders>
              <w:tl2br w:val="nil"/>
              <w:tr2bl w:val="nil"/>
            </w:tcBorders>
            <w:noWrap/>
            <w:vAlign w:val="center"/>
          </w:tcPr>
          <w:p>
            <w:pPr>
              <w:widowControl/>
              <w:adjustRightInd/>
              <w:snapToGrid w:val="0"/>
              <w:spacing w:line="240" w:lineRule="auto"/>
              <w:ind w:left="0" w:leftChars="0"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w:t>
            </w:r>
          </w:p>
        </w:tc>
        <w:tc>
          <w:tcPr>
            <w:tcW w:w="93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w:t>
            </w:r>
          </w:p>
        </w:tc>
        <w:tc>
          <w:tcPr>
            <w:tcW w:w="93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62" w:hRule="exact"/>
          <w:jc w:val="center"/>
        </w:trPr>
        <w:tc>
          <w:tcPr>
            <w:tcW w:w="656"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3</w:t>
            </w:r>
          </w:p>
        </w:tc>
        <w:tc>
          <w:tcPr>
            <w:tcW w:w="574"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内流区</w:t>
            </w:r>
          </w:p>
        </w:tc>
        <w:tc>
          <w:tcPr>
            <w:tcW w:w="1153"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塔里木</w:t>
            </w:r>
            <w:r>
              <w:rPr>
                <w:rFonts w:hint="eastAsia" w:ascii="仿宋" w:hAnsi="仿宋" w:eastAsia="仿宋" w:cs="仿宋"/>
                <w:color w:val="auto"/>
                <w:kern w:val="0"/>
                <w:sz w:val="22"/>
                <w:szCs w:val="22"/>
                <w:highlight w:val="none"/>
              </w:rPr>
              <w:t>内流区</w:t>
            </w:r>
          </w:p>
        </w:tc>
        <w:tc>
          <w:tcPr>
            <w:tcW w:w="1536"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乌鲁克萨依河</w:t>
            </w:r>
          </w:p>
        </w:tc>
        <w:tc>
          <w:tcPr>
            <w:tcW w:w="1642"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w:t>
            </w:r>
          </w:p>
        </w:tc>
        <w:tc>
          <w:tcPr>
            <w:tcW w:w="1096" w:type="dxa"/>
            <w:tcBorders>
              <w:tl2br w:val="nil"/>
              <w:tr2bl w:val="nil"/>
            </w:tcBorders>
            <w:noWrap/>
            <w:vAlign w:val="center"/>
          </w:tcPr>
          <w:p>
            <w:pPr>
              <w:widowControl/>
              <w:adjustRightInd/>
              <w:snapToGrid w:val="0"/>
              <w:spacing w:line="240" w:lineRule="auto"/>
              <w:ind w:left="0" w:leftChars="0"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w:t>
            </w:r>
          </w:p>
        </w:tc>
        <w:tc>
          <w:tcPr>
            <w:tcW w:w="93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w:t>
            </w:r>
          </w:p>
        </w:tc>
        <w:tc>
          <w:tcPr>
            <w:tcW w:w="93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15" w:hRule="exact"/>
          <w:jc w:val="center"/>
        </w:trPr>
        <w:tc>
          <w:tcPr>
            <w:tcW w:w="656"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4</w:t>
            </w:r>
          </w:p>
        </w:tc>
        <w:tc>
          <w:tcPr>
            <w:tcW w:w="574"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内流区</w:t>
            </w:r>
          </w:p>
        </w:tc>
        <w:tc>
          <w:tcPr>
            <w:tcW w:w="1153"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塔里木</w:t>
            </w:r>
            <w:r>
              <w:rPr>
                <w:rFonts w:hint="eastAsia" w:ascii="仿宋" w:hAnsi="仿宋" w:eastAsia="仿宋" w:cs="仿宋"/>
                <w:color w:val="auto"/>
                <w:kern w:val="0"/>
                <w:sz w:val="22"/>
                <w:szCs w:val="22"/>
                <w:highlight w:val="none"/>
              </w:rPr>
              <w:t>内流区</w:t>
            </w:r>
          </w:p>
        </w:tc>
        <w:tc>
          <w:tcPr>
            <w:tcW w:w="1536"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努尔河</w:t>
            </w:r>
          </w:p>
        </w:tc>
        <w:tc>
          <w:tcPr>
            <w:tcW w:w="1642"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独木村</w:t>
            </w:r>
          </w:p>
        </w:tc>
        <w:tc>
          <w:tcPr>
            <w:tcW w:w="1096" w:type="dxa"/>
            <w:tcBorders>
              <w:tl2br w:val="nil"/>
              <w:tr2bl w:val="nil"/>
            </w:tcBorders>
            <w:noWrap/>
            <w:vAlign w:val="center"/>
          </w:tcPr>
          <w:p>
            <w:pPr>
              <w:widowControl/>
              <w:adjustRightInd/>
              <w:snapToGrid w:val="0"/>
              <w:spacing w:line="240" w:lineRule="auto"/>
              <w:ind w:left="0" w:leftChars="0"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县控</w:t>
            </w:r>
          </w:p>
        </w:tc>
        <w:tc>
          <w:tcPr>
            <w:tcW w:w="93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I</w:t>
            </w:r>
          </w:p>
        </w:tc>
        <w:tc>
          <w:tcPr>
            <w:tcW w:w="93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I</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62" w:hRule="exact"/>
          <w:jc w:val="center"/>
        </w:trPr>
        <w:tc>
          <w:tcPr>
            <w:tcW w:w="656"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5</w:t>
            </w:r>
          </w:p>
        </w:tc>
        <w:tc>
          <w:tcPr>
            <w:tcW w:w="574"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内流区</w:t>
            </w:r>
          </w:p>
        </w:tc>
        <w:tc>
          <w:tcPr>
            <w:tcW w:w="1153"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塔里木</w:t>
            </w:r>
            <w:r>
              <w:rPr>
                <w:rFonts w:hint="eastAsia" w:ascii="仿宋" w:hAnsi="仿宋" w:eastAsia="仿宋" w:cs="仿宋"/>
                <w:color w:val="auto"/>
                <w:kern w:val="0"/>
                <w:sz w:val="22"/>
                <w:szCs w:val="22"/>
                <w:highlight w:val="none"/>
              </w:rPr>
              <w:t>内流区</w:t>
            </w:r>
          </w:p>
        </w:tc>
        <w:tc>
          <w:tcPr>
            <w:tcW w:w="1536"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萨依瓦克河</w:t>
            </w:r>
          </w:p>
        </w:tc>
        <w:tc>
          <w:tcPr>
            <w:tcW w:w="1642"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w:t>
            </w:r>
          </w:p>
        </w:tc>
        <w:tc>
          <w:tcPr>
            <w:tcW w:w="1096" w:type="dxa"/>
            <w:tcBorders>
              <w:tl2br w:val="nil"/>
              <w:tr2bl w:val="nil"/>
            </w:tcBorders>
            <w:noWrap/>
            <w:vAlign w:val="center"/>
          </w:tcPr>
          <w:p>
            <w:pPr>
              <w:widowControl/>
              <w:adjustRightInd/>
              <w:snapToGrid w:val="0"/>
              <w:spacing w:line="240" w:lineRule="auto"/>
              <w:ind w:left="0" w:leftChars="0"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w:t>
            </w:r>
          </w:p>
        </w:tc>
        <w:tc>
          <w:tcPr>
            <w:tcW w:w="93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w:t>
            </w:r>
          </w:p>
        </w:tc>
        <w:tc>
          <w:tcPr>
            <w:tcW w:w="93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62" w:hRule="exact"/>
          <w:jc w:val="center"/>
        </w:trPr>
        <w:tc>
          <w:tcPr>
            <w:tcW w:w="656"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6</w:t>
            </w:r>
          </w:p>
        </w:tc>
        <w:tc>
          <w:tcPr>
            <w:tcW w:w="574"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内流区</w:t>
            </w:r>
          </w:p>
        </w:tc>
        <w:tc>
          <w:tcPr>
            <w:tcW w:w="1153"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塔里木</w:t>
            </w:r>
            <w:r>
              <w:rPr>
                <w:rFonts w:hint="eastAsia" w:ascii="仿宋" w:hAnsi="仿宋" w:eastAsia="仿宋" w:cs="仿宋"/>
                <w:color w:val="auto"/>
                <w:kern w:val="0"/>
                <w:sz w:val="22"/>
                <w:szCs w:val="22"/>
                <w:highlight w:val="none"/>
              </w:rPr>
              <w:t>内流区</w:t>
            </w:r>
          </w:p>
        </w:tc>
        <w:tc>
          <w:tcPr>
            <w:tcW w:w="1536"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布藏河</w:t>
            </w:r>
          </w:p>
        </w:tc>
        <w:tc>
          <w:tcPr>
            <w:tcW w:w="1642"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布藏</w:t>
            </w:r>
          </w:p>
        </w:tc>
        <w:tc>
          <w:tcPr>
            <w:tcW w:w="1096" w:type="dxa"/>
            <w:tcBorders>
              <w:tl2br w:val="nil"/>
              <w:tr2bl w:val="nil"/>
            </w:tcBorders>
            <w:noWrap/>
            <w:vAlign w:val="center"/>
          </w:tcPr>
          <w:p>
            <w:pPr>
              <w:widowControl/>
              <w:adjustRightInd/>
              <w:snapToGrid w:val="0"/>
              <w:spacing w:line="240" w:lineRule="auto"/>
              <w:ind w:left="0" w:leftChars="0"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县控</w:t>
            </w:r>
          </w:p>
        </w:tc>
        <w:tc>
          <w:tcPr>
            <w:tcW w:w="93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I</w:t>
            </w:r>
          </w:p>
        </w:tc>
        <w:tc>
          <w:tcPr>
            <w:tcW w:w="93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I</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62" w:hRule="exact"/>
          <w:jc w:val="center"/>
        </w:trPr>
        <w:tc>
          <w:tcPr>
            <w:tcW w:w="656"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7</w:t>
            </w:r>
          </w:p>
        </w:tc>
        <w:tc>
          <w:tcPr>
            <w:tcW w:w="574"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内流区</w:t>
            </w:r>
          </w:p>
        </w:tc>
        <w:tc>
          <w:tcPr>
            <w:tcW w:w="1153"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塔里木</w:t>
            </w:r>
            <w:r>
              <w:rPr>
                <w:rFonts w:hint="eastAsia" w:ascii="仿宋" w:hAnsi="仿宋" w:eastAsia="仿宋" w:cs="仿宋"/>
                <w:color w:val="auto"/>
                <w:kern w:val="0"/>
                <w:sz w:val="22"/>
                <w:szCs w:val="22"/>
                <w:highlight w:val="none"/>
              </w:rPr>
              <w:t>内流区</w:t>
            </w:r>
          </w:p>
        </w:tc>
        <w:tc>
          <w:tcPr>
            <w:tcW w:w="1536"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阿克赛音河</w:t>
            </w:r>
          </w:p>
        </w:tc>
        <w:tc>
          <w:tcPr>
            <w:tcW w:w="1642"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同古孜洛克</w:t>
            </w:r>
          </w:p>
        </w:tc>
        <w:tc>
          <w:tcPr>
            <w:tcW w:w="1096" w:type="dxa"/>
            <w:tcBorders>
              <w:tl2br w:val="nil"/>
              <w:tr2bl w:val="nil"/>
            </w:tcBorders>
            <w:noWrap/>
            <w:vAlign w:val="center"/>
          </w:tcPr>
          <w:p>
            <w:pPr>
              <w:widowControl/>
              <w:adjustRightInd/>
              <w:snapToGrid w:val="0"/>
              <w:spacing w:line="240" w:lineRule="auto"/>
              <w:ind w:left="0" w:leftChars="0"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县控</w:t>
            </w:r>
          </w:p>
        </w:tc>
        <w:tc>
          <w:tcPr>
            <w:tcW w:w="93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I</w:t>
            </w:r>
          </w:p>
        </w:tc>
        <w:tc>
          <w:tcPr>
            <w:tcW w:w="93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I</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796" w:hRule="exact"/>
          <w:jc w:val="center"/>
        </w:trPr>
        <w:tc>
          <w:tcPr>
            <w:tcW w:w="656"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8</w:t>
            </w:r>
          </w:p>
        </w:tc>
        <w:tc>
          <w:tcPr>
            <w:tcW w:w="574"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内流区</w:t>
            </w:r>
          </w:p>
        </w:tc>
        <w:tc>
          <w:tcPr>
            <w:tcW w:w="1153"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塔里木</w:t>
            </w:r>
            <w:r>
              <w:rPr>
                <w:rFonts w:hint="eastAsia" w:ascii="仿宋" w:hAnsi="仿宋" w:eastAsia="仿宋" w:cs="仿宋"/>
                <w:color w:val="auto"/>
                <w:kern w:val="0"/>
                <w:sz w:val="22"/>
                <w:szCs w:val="22"/>
                <w:highlight w:val="none"/>
              </w:rPr>
              <w:t>内流区</w:t>
            </w:r>
          </w:p>
        </w:tc>
        <w:tc>
          <w:tcPr>
            <w:tcW w:w="1536"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卡尔苏河</w:t>
            </w:r>
          </w:p>
        </w:tc>
        <w:tc>
          <w:tcPr>
            <w:tcW w:w="1642"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w:t>
            </w:r>
          </w:p>
        </w:tc>
        <w:tc>
          <w:tcPr>
            <w:tcW w:w="1096" w:type="dxa"/>
            <w:tcBorders>
              <w:tl2br w:val="nil"/>
              <w:tr2bl w:val="nil"/>
            </w:tcBorders>
            <w:noWrap/>
            <w:vAlign w:val="center"/>
          </w:tcPr>
          <w:p>
            <w:pPr>
              <w:widowControl/>
              <w:adjustRightInd/>
              <w:snapToGrid w:val="0"/>
              <w:spacing w:line="240" w:lineRule="auto"/>
              <w:ind w:left="0" w:leftChars="0"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w:t>
            </w:r>
          </w:p>
        </w:tc>
        <w:tc>
          <w:tcPr>
            <w:tcW w:w="93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w:t>
            </w:r>
          </w:p>
        </w:tc>
        <w:tc>
          <w:tcPr>
            <w:tcW w:w="93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w:t>
            </w:r>
          </w:p>
        </w:tc>
      </w:tr>
    </w:tbl>
    <w:p>
      <w:pPr>
        <w:spacing w:before="156" w:beforeLines="50" w:line="240" w:lineRule="auto"/>
        <w:ind w:firstLine="0" w:firstLineChars="0"/>
        <w:jc w:val="center"/>
        <w:rPr>
          <w:rFonts w:hint="eastAsia" w:ascii="黑体" w:hAnsi="黑体" w:eastAsia="黑体" w:cs="黑体"/>
          <w:color w:val="auto"/>
          <w:spacing w:val="7"/>
          <w:sz w:val="31"/>
          <w:szCs w:val="31"/>
          <w:highlight w:val="none"/>
          <w:lang w:eastAsia="zh-CN"/>
          <w14:textOutline w14:w="5793" w14:cap="sq" w14:cmpd="sng">
            <w14:solidFill>
              <w14:srgbClr w14:val="000000"/>
            </w14:solidFill>
            <w14:prstDash w14:val="solid"/>
            <w14:bevel/>
          </w14:textOutline>
        </w:rPr>
      </w:pPr>
      <w:bookmarkStart w:id="168" w:name="_Toc43368924"/>
      <w:bookmarkStart w:id="169" w:name="_Toc43378181"/>
      <w:bookmarkStart w:id="170" w:name="_Toc24879"/>
      <w:bookmarkStart w:id="171" w:name="_Toc43324312"/>
      <w:r>
        <w:rPr>
          <w:rFonts w:hint="eastAsia" w:ascii="黑体" w:hAnsi="黑体" w:eastAsia="黑体" w:cs="黑体"/>
          <w:color w:val="auto"/>
          <w:spacing w:val="7"/>
          <w:sz w:val="31"/>
          <w:szCs w:val="31"/>
          <w:highlight w:val="none"/>
          <w:lang w:eastAsia="zh-CN"/>
          <w14:textOutline w14:w="5793" w14:cap="sq" w14:cmpd="sng">
            <w14:solidFill>
              <w14:srgbClr w14:val="000000"/>
            </w14:solidFill>
            <w14:prstDash w14:val="solid"/>
            <w14:bevel/>
          </w14:textOutline>
        </w:rPr>
        <w:t>表</w:t>
      </w:r>
      <w:r>
        <w:rPr>
          <w:rFonts w:hint="eastAsia" w:ascii="黑体" w:hAnsi="黑体" w:eastAsia="黑体" w:cs="黑体"/>
          <w:color w:val="auto"/>
          <w:spacing w:val="7"/>
          <w:sz w:val="31"/>
          <w:szCs w:val="31"/>
          <w:highlight w:val="none"/>
          <w:lang w:val="en-US" w:eastAsia="zh-CN"/>
          <w14:textOutline w14:w="5793" w14:cap="sq" w14:cmpd="sng">
            <w14:solidFill>
              <w14:srgbClr w14:val="000000"/>
            </w14:solidFill>
            <w14:prstDash w14:val="solid"/>
            <w14:bevel/>
          </w14:textOutline>
        </w:rPr>
        <w:t xml:space="preserve">3    </w:t>
      </w:r>
      <w:r>
        <w:rPr>
          <w:rFonts w:hint="eastAsia" w:ascii="黑体" w:hAnsi="黑体" w:eastAsia="黑体" w:cs="黑体"/>
          <w:color w:val="auto"/>
          <w:spacing w:val="7"/>
          <w:sz w:val="31"/>
          <w:szCs w:val="31"/>
          <w:highlight w:val="none"/>
          <w:lang w:eastAsia="zh-CN"/>
          <w14:textOutline w14:w="5793" w14:cap="sq" w14:cmpd="sng">
            <w14:solidFill>
              <w14:srgbClr w14:val="000000"/>
            </w14:solidFill>
            <w14:prstDash w14:val="solid"/>
            <w14:bevel/>
          </w14:textOutline>
        </w:rPr>
        <w:t>集中式饮用水水源目标清单</w:t>
      </w:r>
      <w:bookmarkEnd w:id="168"/>
      <w:bookmarkEnd w:id="169"/>
      <w:bookmarkEnd w:id="170"/>
      <w:bookmarkEnd w:id="171"/>
    </w:p>
    <w:tbl>
      <w:tblPr>
        <w:tblStyle w:val="26"/>
        <w:tblW w:w="851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279"/>
        <w:gridCol w:w="461"/>
        <w:gridCol w:w="578"/>
        <w:gridCol w:w="747"/>
        <w:gridCol w:w="772"/>
        <w:gridCol w:w="1072"/>
        <w:gridCol w:w="1930"/>
        <w:gridCol w:w="812"/>
        <w:gridCol w:w="768"/>
        <w:gridCol w:w="10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718" w:hRule="atLeast"/>
        </w:trPr>
        <w:tc>
          <w:tcPr>
            <w:tcW w:w="279"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序号</w:t>
            </w:r>
          </w:p>
        </w:tc>
        <w:tc>
          <w:tcPr>
            <w:tcW w:w="461"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省区</w:t>
            </w:r>
          </w:p>
        </w:tc>
        <w:tc>
          <w:tcPr>
            <w:tcW w:w="578"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地市</w:t>
            </w:r>
          </w:p>
        </w:tc>
        <w:tc>
          <w:tcPr>
            <w:tcW w:w="747"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区县</w:t>
            </w:r>
          </w:p>
        </w:tc>
        <w:tc>
          <w:tcPr>
            <w:tcW w:w="772"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所属流域</w:t>
            </w:r>
          </w:p>
        </w:tc>
        <w:tc>
          <w:tcPr>
            <w:tcW w:w="1072"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所在水体</w:t>
            </w:r>
          </w:p>
        </w:tc>
        <w:tc>
          <w:tcPr>
            <w:tcW w:w="1930"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水源地名称</w:t>
            </w:r>
          </w:p>
        </w:tc>
        <w:tc>
          <w:tcPr>
            <w:tcW w:w="812"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水源地类型</w:t>
            </w:r>
          </w:p>
        </w:tc>
        <w:tc>
          <w:tcPr>
            <w:tcW w:w="768"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2020年水质现状</w:t>
            </w:r>
          </w:p>
        </w:tc>
        <w:tc>
          <w:tcPr>
            <w:tcW w:w="1098"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2025年水质目标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68" w:hRule="atLeast"/>
        </w:trPr>
        <w:tc>
          <w:tcPr>
            <w:tcW w:w="279"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1</w:t>
            </w:r>
          </w:p>
        </w:tc>
        <w:tc>
          <w:tcPr>
            <w:tcW w:w="46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新疆</w:t>
            </w:r>
          </w:p>
        </w:tc>
        <w:tc>
          <w:tcPr>
            <w:tcW w:w="578"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和田地区</w:t>
            </w:r>
          </w:p>
        </w:tc>
        <w:tc>
          <w:tcPr>
            <w:tcW w:w="747"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lang w:eastAsia="zh-CN"/>
              </w:rPr>
            </w:pPr>
            <w:r>
              <w:rPr>
                <w:rFonts w:hint="eastAsia" w:ascii="仿宋" w:hAnsi="仿宋" w:eastAsia="仿宋" w:cs="仿宋"/>
                <w:color w:val="auto"/>
                <w:kern w:val="0"/>
                <w:sz w:val="22"/>
                <w:szCs w:val="22"/>
                <w:highlight w:val="none"/>
                <w:lang w:eastAsia="zh-CN"/>
              </w:rPr>
              <w:t>策勒县</w:t>
            </w:r>
          </w:p>
        </w:tc>
        <w:tc>
          <w:tcPr>
            <w:tcW w:w="772"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bidi="ar"/>
              </w:rPr>
              <w:t>克里雅河诸小河流域</w:t>
            </w:r>
          </w:p>
        </w:tc>
        <w:tc>
          <w:tcPr>
            <w:tcW w:w="1072" w:type="dxa"/>
            <w:tcBorders>
              <w:tl2br w:val="nil"/>
              <w:tr2bl w:val="nil"/>
            </w:tcBorders>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color w:val="auto"/>
                <w:kern w:val="0"/>
                <w:sz w:val="22"/>
                <w:szCs w:val="22"/>
                <w:highlight w:val="none"/>
              </w:rPr>
            </w:pPr>
            <w:r>
              <w:rPr>
                <w:rFonts w:hint="eastAsia" w:ascii="仿宋" w:hAnsi="仿宋" w:eastAsia="仿宋" w:cs="仿宋"/>
                <w:i w:val="0"/>
                <w:iCs w:val="0"/>
                <w:color w:val="auto"/>
                <w:kern w:val="0"/>
                <w:sz w:val="22"/>
                <w:szCs w:val="22"/>
                <w:highlight w:val="none"/>
                <w:u w:val="none"/>
                <w:lang w:val="en-US" w:eastAsia="zh-CN" w:bidi="ar"/>
              </w:rPr>
              <w:t>努尔河</w:t>
            </w:r>
          </w:p>
        </w:tc>
        <w:tc>
          <w:tcPr>
            <w:tcW w:w="1930" w:type="dxa"/>
            <w:tcBorders>
              <w:tl2br w:val="nil"/>
              <w:tr2bl w:val="nil"/>
            </w:tcBorders>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color w:val="auto"/>
                <w:kern w:val="0"/>
                <w:sz w:val="22"/>
                <w:szCs w:val="22"/>
                <w:highlight w:val="none"/>
              </w:rPr>
            </w:pPr>
            <w:r>
              <w:rPr>
                <w:rFonts w:hint="eastAsia" w:ascii="仿宋" w:hAnsi="仿宋" w:eastAsia="仿宋" w:cs="仿宋"/>
                <w:i w:val="0"/>
                <w:iCs w:val="0"/>
                <w:color w:val="auto"/>
                <w:kern w:val="0"/>
                <w:sz w:val="22"/>
                <w:szCs w:val="22"/>
                <w:highlight w:val="none"/>
                <w:u w:val="none"/>
                <w:lang w:val="en-US" w:eastAsia="zh-CN" w:bidi="ar"/>
              </w:rPr>
              <w:t>策勒县努尔水库饮用水水源地</w:t>
            </w:r>
          </w:p>
        </w:tc>
        <w:tc>
          <w:tcPr>
            <w:tcW w:w="812" w:type="dxa"/>
            <w:tcBorders>
              <w:tl2br w:val="nil"/>
              <w:tr2bl w:val="nil"/>
            </w:tcBorders>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color w:val="auto"/>
                <w:kern w:val="0"/>
                <w:sz w:val="22"/>
                <w:szCs w:val="22"/>
                <w:highlight w:val="none"/>
              </w:rPr>
            </w:pPr>
            <w:r>
              <w:rPr>
                <w:rFonts w:hint="eastAsia" w:ascii="仿宋" w:hAnsi="仿宋" w:eastAsia="仿宋" w:cs="仿宋"/>
                <w:i w:val="0"/>
                <w:iCs w:val="0"/>
                <w:color w:val="auto"/>
                <w:kern w:val="0"/>
                <w:sz w:val="22"/>
                <w:szCs w:val="22"/>
                <w:highlight w:val="none"/>
                <w:u w:val="none"/>
                <w:lang w:val="en-US" w:eastAsia="zh-CN" w:bidi="ar"/>
              </w:rPr>
              <w:t>水库型地表水</w:t>
            </w:r>
          </w:p>
        </w:tc>
        <w:tc>
          <w:tcPr>
            <w:tcW w:w="768"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Ⅲ</w:t>
            </w:r>
          </w:p>
        </w:tc>
        <w:tc>
          <w:tcPr>
            <w:tcW w:w="1098"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90" w:hRule="atLeast"/>
        </w:trPr>
        <w:tc>
          <w:tcPr>
            <w:tcW w:w="279"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2</w:t>
            </w:r>
          </w:p>
        </w:tc>
        <w:tc>
          <w:tcPr>
            <w:tcW w:w="461"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新疆</w:t>
            </w:r>
          </w:p>
        </w:tc>
        <w:tc>
          <w:tcPr>
            <w:tcW w:w="578"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和田地区</w:t>
            </w:r>
          </w:p>
        </w:tc>
        <w:tc>
          <w:tcPr>
            <w:tcW w:w="747"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策勒县</w:t>
            </w:r>
          </w:p>
        </w:tc>
        <w:tc>
          <w:tcPr>
            <w:tcW w:w="772"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bidi="ar"/>
              </w:rPr>
              <w:t>克里雅河诸小河流域</w:t>
            </w:r>
          </w:p>
        </w:tc>
        <w:tc>
          <w:tcPr>
            <w:tcW w:w="1072" w:type="dxa"/>
            <w:tcBorders>
              <w:tl2br w:val="nil"/>
              <w:tr2bl w:val="nil"/>
            </w:tcBorders>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color w:val="auto"/>
                <w:kern w:val="0"/>
                <w:sz w:val="22"/>
                <w:szCs w:val="22"/>
                <w:highlight w:val="none"/>
              </w:rPr>
            </w:pPr>
            <w:r>
              <w:rPr>
                <w:rFonts w:hint="eastAsia" w:ascii="仿宋" w:hAnsi="仿宋" w:eastAsia="仿宋" w:cs="仿宋"/>
                <w:i w:val="0"/>
                <w:iCs w:val="0"/>
                <w:color w:val="auto"/>
                <w:kern w:val="0"/>
                <w:sz w:val="22"/>
                <w:szCs w:val="22"/>
                <w:highlight w:val="none"/>
                <w:u w:val="none"/>
                <w:lang w:val="en-US" w:eastAsia="zh-CN" w:bidi="ar"/>
              </w:rPr>
              <w:t>恰恰河</w:t>
            </w:r>
          </w:p>
        </w:tc>
        <w:tc>
          <w:tcPr>
            <w:tcW w:w="1930" w:type="dxa"/>
            <w:tcBorders>
              <w:tl2br w:val="nil"/>
              <w:tr2bl w:val="nil"/>
            </w:tcBorders>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color w:val="auto"/>
                <w:kern w:val="0"/>
                <w:sz w:val="22"/>
                <w:szCs w:val="22"/>
                <w:highlight w:val="none"/>
              </w:rPr>
            </w:pPr>
            <w:r>
              <w:rPr>
                <w:rFonts w:hint="eastAsia" w:ascii="仿宋" w:hAnsi="仿宋" w:eastAsia="仿宋" w:cs="仿宋"/>
                <w:i w:val="0"/>
                <w:iCs w:val="0"/>
                <w:color w:val="auto"/>
                <w:kern w:val="0"/>
                <w:sz w:val="22"/>
                <w:szCs w:val="22"/>
                <w:highlight w:val="none"/>
                <w:u w:val="none"/>
                <w:lang w:val="en-US" w:eastAsia="zh-CN" w:bidi="ar"/>
              </w:rPr>
              <w:t>恰恰乡一水厂河流型水源地</w:t>
            </w:r>
          </w:p>
        </w:tc>
        <w:tc>
          <w:tcPr>
            <w:tcW w:w="812" w:type="dxa"/>
            <w:tcBorders>
              <w:tl2br w:val="nil"/>
              <w:tr2bl w:val="nil"/>
            </w:tcBorders>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color w:val="auto"/>
                <w:kern w:val="0"/>
                <w:sz w:val="22"/>
                <w:szCs w:val="22"/>
                <w:highlight w:val="none"/>
              </w:rPr>
            </w:pPr>
            <w:r>
              <w:rPr>
                <w:rFonts w:hint="eastAsia" w:ascii="仿宋" w:hAnsi="仿宋" w:eastAsia="仿宋" w:cs="仿宋"/>
                <w:i w:val="0"/>
                <w:iCs w:val="0"/>
                <w:color w:val="auto"/>
                <w:kern w:val="0"/>
                <w:sz w:val="22"/>
                <w:szCs w:val="22"/>
                <w:highlight w:val="none"/>
                <w:u w:val="none"/>
                <w:lang w:val="en-US" w:eastAsia="zh-CN" w:bidi="ar"/>
              </w:rPr>
              <w:t>河流型地表水</w:t>
            </w:r>
          </w:p>
        </w:tc>
        <w:tc>
          <w:tcPr>
            <w:tcW w:w="768"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Ⅲ</w:t>
            </w:r>
          </w:p>
        </w:tc>
        <w:tc>
          <w:tcPr>
            <w:tcW w:w="1098"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90" w:hRule="atLeast"/>
        </w:trPr>
        <w:tc>
          <w:tcPr>
            <w:tcW w:w="279"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3</w:t>
            </w:r>
          </w:p>
        </w:tc>
        <w:tc>
          <w:tcPr>
            <w:tcW w:w="461"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新疆</w:t>
            </w:r>
          </w:p>
        </w:tc>
        <w:tc>
          <w:tcPr>
            <w:tcW w:w="578"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和田地区</w:t>
            </w:r>
          </w:p>
        </w:tc>
        <w:tc>
          <w:tcPr>
            <w:tcW w:w="747"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策勒县</w:t>
            </w:r>
          </w:p>
        </w:tc>
        <w:tc>
          <w:tcPr>
            <w:tcW w:w="772"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bidi="ar"/>
              </w:rPr>
              <w:t>克里雅河诸小河流域</w:t>
            </w:r>
          </w:p>
        </w:tc>
        <w:tc>
          <w:tcPr>
            <w:tcW w:w="1072" w:type="dxa"/>
            <w:tcBorders>
              <w:tl2br w:val="nil"/>
              <w:tr2bl w:val="nil"/>
            </w:tcBorders>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color w:val="auto"/>
                <w:kern w:val="0"/>
                <w:sz w:val="22"/>
                <w:szCs w:val="22"/>
                <w:highlight w:val="none"/>
              </w:rPr>
            </w:pPr>
            <w:r>
              <w:rPr>
                <w:rFonts w:hint="eastAsia" w:ascii="仿宋" w:hAnsi="仿宋" w:eastAsia="仿宋" w:cs="仿宋"/>
                <w:i w:val="0"/>
                <w:iCs w:val="0"/>
                <w:color w:val="auto"/>
                <w:kern w:val="0"/>
                <w:sz w:val="22"/>
                <w:szCs w:val="22"/>
                <w:highlight w:val="none"/>
                <w:u w:val="none"/>
                <w:lang w:val="en-US" w:eastAsia="zh-CN" w:bidi="ar"/>
              </w:rPr>
              <w:t>萨依巴格河</w:t>
            </w:r>
          </w:p>
        </w:tc>
        <w:tc>
          <w:tcPr>
            <w:tcW w:w="1930" w:type="dxa"/>
            <w:tcBorders>
              <w:tl2br w:val="nil"/>
              <w:tr2bl w:val="nil"/>
            </w:tcBorders>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color w:val="auto"/>
                <w:kern w:val="0"/>
                <w:sz w:val="22"/>
                <w:szCs w:val="22"/>
                <w:highlight w:val="none"/>
              </w:rPr>
            </w:pPr>
            <w:r>
              <w:rPr>
                <w:rFonts w:hint="eastAsia" w:ascii="仿宋" w:hAnsi="仿宋" w:eastAsia="仿宋" w:cs="仿宋"/>
                <w:i w:val="0"/>
                <w:iCs w:val="0"/>
                <w:color w:val="auto"/>
                <w:kern w:val="0"/>
                <w:sz w:val="22"/>
                <w:szCs w:val="22"/>
                <w:highlight w:val="none"/>
                <w:u w:val="none"/>
                <w:lang w:val="en-US" w:eastAsia="zh-CN" w:bidi="ar"/>
              </w:rPr>
              <w:t>努尔乡萨依巴格河流型水源地</w:t>
            </w:r>
          </w:p>
        </w:tc>
        <w:tc>
          <w:tcPr>
            <w:tcW w:w="812" w:type="dxa"/>
            <w:tcBorders>
              <w:tl2br w:val="nil"/>
              <w:tr2bl w:val="nil"/>
            </w:tcBorders>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color w:val="auto"/>
                <w:kern w:val="0"/>
                <w:sz w:val="22"/>
                <w:szCs w:val="22"/>
                <w:highlight w:val="none"/>
              </w:rPr>
            </w:pPr>
            <w:r>
              <w:rPr>
                <w:rFonts w:hint="eastAsia" w:ascii="仿宋" w:hAnsi="仿宋" w:eastAsia="仿宋" w:cs="仿宋"/>
                <w:i w:val="0"/>
                <w:iCs w:val="0"/>
                <w:color w:val="auto"/>
                <w:kern w:val="0"/>
                <w:sz w:val="22"/>
                <w:szCs w:val="22"/>
                <w:highlight w:val="none"/>
                <w:u w:val="none"/>
                <w:lang w:val="en-US" w:eastAsia="zh-CN" w:bidi="ar"/>
              </w:rPr>
              <w:t>河流型地表水</w:t>
            </w:r>
          </w:p>
        </w:tc>
        <w:tc>
          <w:tcPr>
            <w:tcW w:w="768"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Ⅲ</w:t>
            </w:r>
          </w:p>
        </w:tc>
        <w:tc>
          <w:tcPr>
            <w:tcW w:w="1098"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90" w:hRule="atLeast"/>
        </w:trPr>
        <w:tc>
          <w:tcPr>
            <w:tcW w:w="279"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4</w:t>
            </w:r>
          </w:p>
        </w:tc>
        <w:tc>
          <w:tcPr>
            <w:tcW w:w="461"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新疆</w:t>
            </w:r>
          </w:p>
        </w:tc>
        <w:tc>
          <w:tcPr>
            <w:tcW w:w="578"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和田地区</w:t>
            </w:r>
          </w:p>
        </w:tc>
        <w:tc>
          <w:tcPr>
            <w:tcW w:w="747"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策勒县</w:t>
            </w:r>
          </w:p>
        </w:tc>
        <w:tc>
          <w:tcPr>
            <w:tcW w:w="772"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bidi="ar"/>
              </w:rPr>
              <w:t>克里雅河诸小河流域</w:t>
            </w:r>
          </w:p>
        </w:tc>
        <w:tc>
          <w:tcPr>
            <w:tcW w:w="1072" w:type="dxa"/>
            <w:tcBorders>
              <w:tl2br w:val="nil"/>
              <w:tr2bl w:val="nil"/>
            </w:tcBorders>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color w:val="auto"/>
                <w:kern w:val="0"/>
                <w:sz w:val="22"/>
                <w:szCs w:val="22"/>
                <w:highlight w:val="none"/>
              </w:rPr>
            </w:pPr>
            <w:r>
              <w:rPr>
                <w:rFonts w:hint="eastAsia" w:ascii="仿宋" w:hAnsi="仿宋" w:eastAsia="仿宋" w:cs="仿宋"/>
                <w:i w:val="0"/>
                <w:iCs w:val="0"/>
                <w:color w:val="auto"/>
                <w:kern w:val="0"/>
                <w:sz w:val="22"/>
                <w:szCs w:val="22"/>
                <w:highlight w:val="none"/>
                <w:u w:val="none"/>
                <w:lang w:val="en-US" w:eastAsia="zh-CN" w:bidi="ar"/>
              </w:rPr>
              <w:t>乌鲁克萨依河</w:t>
            </w:r>
          </w:p>
        </w:tc>
        <w:tc>
          <w:tcPr>
            <w:tcW w:w="1930" w:type="dxa"/>
            <w:tcBorders>
              <w:tl2br w:val="nil"/>
              <w:tr2bl w:val="nil"/>
            </w:tcBorders>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color w:val="auto"/>
                <w:kern w:val="0"/>
                <w:sz w:val="22"/>
                <w:szCs w:val="22"/>
                <w:highlight w:val="none"/>
              </w:rPr>
            </w:pPr>
            <w:r>
              <w:rPr>
                <w:rFonts w:hint="eastAsia" w:ascii="仿宋" w:hAnsi="仿宋" w:eastAsia="仿宋" w:cs="仿宋"/>
                <w:i w:val="0"/>
                <w:iCs w:val="0"/>
                <w:color w:val="auto"/>
                <w:kern w:val="0"/>
                <w:sz w:val="22"/>
                <w:szCs w:val="22"/>
                <w:highlight w:val="none"/>
                <w:u w:val="none"/>
                <w:lang w:val="en-US" w:eastAsia="zh-CN" w:bidi="ar"/>
              </w:rPr>
              <w:t>乌鲁克萨依乡乌鲁克萨依河水源地</w:t>
            </w:r>
          </w:p>
        </w:tc>
        <w:tc>
          <w:tcPr>
            <w:tcW w:w="812" w:type="dxa"/>
            <w:tcBorders>
              <w:tl2br w:val="nil"/>
              <w:tr2bl w:val="nil"/>
            </w:tcBorders>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color w:val="auto"/>
                <w:kern w:val="0"/>
                <w:sz w:val="22"/>
                <w:szCs w:val="22"/>
                <w:highlight w:val="none"/>
              </w:rPr>
            </w:pPr>
            <w:r>
              <w:rPr>
                <w:rFonts w:hint="eastAsia" w:ascii="仿宋" w:hAnsi="仿宋" w:eastAsia="仿宋" w:cs="仿宋"/>
                <w:i w:val="0"/>
                <w:iCs w:val="0"/>
                <w:color w:val="auto"/>
                <w:kern w:val="0"/>
                <w:sz w:val="22"/>
                <w:szCs w:val="22"/>
                <w:highlight w:val="none"/>
                <w:u w:val="none"/>
                <w:lang w:val="en-US" w:eastAsia="zh-CN" w:bidi="ar"/>
              </w:rPr>
              <w:t>河流型地表水</w:t>
            </w:r>
          </w:p>
        </w:tc>
        <w:tc>
          <w:tcPr>
            <w:tcW w:w="768"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Ⅲ</w:t>
            </w:r>
          </w:p>
        </w:tc>
        <w:tc>
          <w:tcPr>
            <w:tcW w:w="1098"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68" w:hRule="atLeast"/>
        </w:trPr>
        <w:tc>
          <w:tcPr>
            <w:tcW w:w="279"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5</w:t>
            </w:r>
          </w:p>
        </w:tc>
        <w:tc>
          <w:tcPr>
            <w:tcW w:w="46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新疆</w:t>
            </w:r>
          </w:p>
        </w:tc>
        <w:tc>
          <w:tcPr>
            <w:tcW w:w="578"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和田地区</w:t>
            </w:r>
          </w:p>
        </w:tc>
        <w:tc>
          <w:tcPr>
            <w:tcW w:w="747"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策勒县</w:t>
            </w:r>
          </w:p>
        </w:tc>
        <w:tc>
          <w:tcPr>
            <w:tcW w:w="772"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bidi="ar"/>
              </w:rPr>
              <w:t>克里雅河诸小河流域</w:t>
            </w:r>
          </w:p>
        </w:tc>
        <w:tc>
          <w:tcPr>
            <w:tcW w:w="1072" w:type="dxa"/>
            <w:tcBorders>
              <w:tl2br w:val="nil"/>
              <w:tr2bl w:val="nil"/>
            </w:tcBorders>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color w:val="auto"/>
                <w:kern w:val="0"/>
                <w:sz w:val="22"/>
                <w:szCs w:val="22"/>
                <w:highlight w:val="none"/>
              </w:rPr>
            </w:pPr>
            <w:r>
              <w:rPr>
                <w:rFonts w:hint="eastAsia" w:ascii="仿宋" w:hAnsi="仿宋" w:eastAsia="仿宋" w:cs="仿宋"/>
                <w:i w:val="0"/>
                <w:iCs w:val="0"/>
                <w:color w:val="auto"/>
                <w:kern w:val="0"/>
                <w:sz w:val="22"/>
                <w:szCs w:val="22"/>
                <w:highlight w:val="none"/>
                <w:u w:val="none"/>
                <w:lang w:val="en-US" w:eastAsia="zh-CN" w:bidi="ar"/>
              </w:rPr>
              <w:t>卡苏河</w:t>
            </w:r>
          </w:p>
        </w:tc>
        <w:tc>
          <w:tcPr>
            <w:tcW w:w="1930" w:type="dxa"/>
            <w:tcBorders>
              <w:tl2br w:val="nil"/>
              <w:tr2bl w:val="nil"/>
            </w:tcBorders>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color w:val="auto"/>
                <w:kern w:val="0"/>
                <w:sz w:val="22"/>
                <w:szCs w:val="22"/>
                <w:highlight w:val="none"/>
              </w:rPr>
            </w:pPr>
            <w:r>
              <w:rPr>
                <w:rFonts w:hint="eastAsia" w:ascii="仿宋" w:hAnsi="仿宋" w:eastAsia="仿宋" w:cs="仿宋"/>
                <w:i w:val="0"/>
                <w:iCs w:val="0"/>
                <w:color w:val="auto"/>
                <w:kern w:val="0"/>
                <w:sz w:val="22"/>
                <w:szCs w:val="22"/>
                <w:highlight w:val="none"/>
                <w:u w:val="none"/>
                <w:lang w:val="en-US" w:eastAsia="zh-CN" w:bidi="ar"/>
              </w:rPr>
              <w:t>博斯坦乡卡苏河水源地</w:t>
            </w:r>
          </w:p>
        </w:tc>
        <w:tc>
          <w:tcPr>
            <w:tcW w:w="812" w:type="dxa"/>
            <w:tcBorders>
              <w:tl2br w:val="nil"/>
              <w:tr2bl w:val="nil"/>
            </w:tcBorders>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color w:val="auto"/>
                <w:kern w:val="0"/>
                <w:sz w:val="22"/>
                <w:szCs w:val="22"/>
                <w:highlight w:val="none"/>
              </w:rPr>
            </w:pPr>
            <w:r>
              <w:rPr>
                <w:rFonts w:hint="eastAsia" w:ascii="仿宋" w:hAnsi="仿宋" w:eastAsia="仿宋" w:cs="仿宋"/>
                <w:i w:val="0"/>
                <w:iCs w:val="0"/>
                <w:color w:val="auto"/>
                <w:kern w:val="0"/>
                <w:sz w:val="22"/>
                <w:szCs w:val="22"/>
                <w:highlight w:val="none"/>
                <w:u w:val="none"/>
                <w:lang w:val="en-US" w:eastAsia="zh-CN" w:bidi="ar"/>
              </w:rPr>
              <w:t>河流型地表水</w:t>
            </w:r>
          </w:p>
        </w:tc>
        <w:tc>
          <w:tcPr>
            <w:tcW w:w="768"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Ⅲ</w:t>
            </w:r>
          </w:p>
        </w:tc>
        <w:tc>
          <w:tcPr>
            <w:tcW w:w="1098"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68" w:hRule="atLeast"/>
        </w:trPr>
        <w:tc>
          <w:tcPr>
            <w:tcW w:w="279"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6</w:t>
            </w:r>
          </w:p>
        </w:tc>
        <w:tc>
          <w:tcPr>
            <w:tcW w:w="461"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新疆</w:t>
            </w:r>
          </w:p>
        </w:tc>
        <w:tc>
          <w:tcPr>
            <w:tcW w:w="578"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和田地区</w:t>
            </w:r>
          </w:p>
        </w:tc>
        <w:tc>
          <w:tcPr>
            <w:tcW w:w="747"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eastAsia="zh-CN"/>
              </w:rPr>
              <w:t>策勒县</w:t>
            </w:r>
          </w:p>
        </w:tc>
        <w:tc>
          <w:tcPr>
            <w:tcW w:w="772" w:type="dxa"/>
            <w:tcBorders>
              <w:tl2br w:val="nil"/>
              <w:tr2bl w:val="nil"/>
            </w:tcBorders>
            <w:noWrap/>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bidi="ar"/>
              </w:rPr>
              <w:t>克里雅河诸小河流域</w:t>
            </w:r>
          </w:p>
        </w:tc>
        <w:tc>
          <w:tcPr>
            <w:tcW w:w="1072" w:type="dxa"/>
            <w:tcBorders>
              <w:tl2br w:val="nil"/>
              <w:tr2bl w:val="nil"/>
            </w:tcBorders>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color w:val="auto"/>
                <w:kern w:val="0"/>
                <w:sz w:val="22"/>
                <w:szCs w:val="22"/>
                <w:highlight w:val="none"/>
              </w:rPr>
            </w:pPr>
            <w:r>
              <w:rPr>
                <w:rFonts w:hint="eastAsia" w:ascii="仿宋" w:hAnsi="仿宋" w:eastAsia="仿宋" w:cs="仿宋"/>
                <w:i w:val="0"/>
                <w:iCs w:val="0"/>
                <w:color w:val="auto"/>
                <w:kern w:val="0"/>
                <w:sz w:val="22"/>
                <w:szCs w:val="22"/>
                <w:highlight w:val="none"/>
                <w:u w:val="none"/>
                <w:lang w:val="en-US" w:eastAsia="zh-CN" w:bidi="ar"/>
              </w:rPr>
              <w:t>萨依巴格河</w:t>
            </w:r>
          </w:p>
        </w:tc>
        <w:tc>
          <w:tcPr>
            <w:tcW w:w="1930" w:type="dxa"/>
            <w:tcBorders>
              <w:tl2br w:val="nil"/>
              <w:tr2bl w:val="nil"/>
            </w:tcBorders>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color w:val="auto"/>
                <w:kern w:val="0"/>
                <w:sz w:val="22"/>
                <w:szCs w:val="22"/>
                <w:highlight w:val="none"/>
              </w:rPr>
            </w:pPr>
            <w:r>
              <w:rPr>
                <w:rFonts w:hint="eastAsia" w:ascii="仿宋" w:hAnsi="仿宋" w:eastAsia="仿宋" w:cs="仿宋"/>
                <w:i w:val="0"/>
                <w:iCs w:val="0"/>
                <w:color w:val="auto"/>
                <w:kern w:val="0"/>
                <w:sz w:val="22"/>
                <w:szCs w:val="22"/>
                <w:highlight w:val="none"/>
                <w:u w:val="none"/>
                <w:lang w:val="en-US" w:eastAsia="zh-CN" w:bidi="ar"/>
              </w:rPr>
              <w:t>努尔乡萨依巴格河水库水源地</w:t>
            </w:r>
          </w:p>
        </w:tc>
        <w:tc>
          <w:tcPr>
            <w:tcW w:w="812" w:type="dxa"/>
            <w:tcBorders>
              <w:tl2br w:val="nil"/>
              <w:tr2bl w:val="nil"/>
            </w:tcBorders>
            <w:noWrap/>
            <w:vAlign w:val="center"/>
          </w:tcPr>
          <w:p>
            <w:pPr>
              <w:keepNext w:val="0"/>
              <w:keepLines w:val="0"/>
              <w:widowControl/>
              <w:suppressLineNumbers w:val="0"/>
              <w:spacing w:line="240" w:lineRule="auto"/>
              <w:ind w:left="0" w:leftChars="0" w:firstLine="0" w:firstLineChars="0"/>
              <w:jc w:val="both"/>
              <w:textAlignment w:val="center"/>
              <w:rPr>
                <w:rFonts w:hint="eastAsia" w:ascii="仿宋" w:hAnsi="仿宋" w:eastAsia="仿宋" w:cs="仿宋"/>
                <w:color w:val="auto"/>
                <w:kern w:val="0"/>
                <w:sz w:val="22"/>
                <w:szCs w:val="22"/>
                <w:highlight w:val="none"/>
              </w:rPr>
            </w:pPr>
            <w:r>
              <w:rPr>
                <w:rFonts w:hint="eastAsia" w:ascii="仿宋" w:hAnsi="仿宋" w:eastAsia="仿宋" w:cs="仿宋"/>
                <w:i w:val="0"/>
                <w:iCs w:val="0"/>
                <w:color w:val="auto"/>
                <w:kern w:val="0"/>
                <w:sz w:val="22"/>
                <w:szCs w:val="22"/>
                <w:highlight w:val="none"/>
                <w:u w:val="none"/>
                <w:lang w:val="en-US" w:eastAsia="zh-CN" w:bidi="ar"/>
              </w:rPr>
              <w:t>水库型地表水</w:t>
            </w:r>
          </w:p>
        </w:tc>
        <w:tc>
          <w:tcPr>
            <w:tcW w:w="768"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Ⅲ</w:t>
            </w:r>
          </w:p>
        </w:tc>
        <w:tc>
          <w:tcPr>
            <w:tcW w:w="1098" w:type="dxa"/>
            <w:tcBorders>
              <w:tl2br w:val="nil"/>
              <w:tr2bl w:val="nil"/>
            </w:tcBorders>
            <w:vAlign w:val="center"/>
          </w:tcPr>
          <w:p>
            <w:pPr>
              <w:widowControl/>
              <w:adjustRightInd/>
              <w:snapToGrid w:val="0"/>
              <w:spacing w:line="240" w:lineRule="auto"/>
              <w:ind w:firstLine="0" w:firstLineChars="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Ⅲ</w:t>
            </w:r>
          </w:p>
        </w:tc>
      </w:tr>
    </w:tbl>
    <w:p>
      <w:pPr>
        <w:keepNext/>
        <w:keepLines w:val="0"/>
        <w:pageBreakBefore w:val="0"/>
        <w:widowControl w:val="0"/>
        <w:kinsoku/>
        <w:wordWrap/>
        <w:overflowPunct/>
        <w:topLinePunct w:val="0"/>
        <w:autoSpaceDE/>
        <w:autoSpaceDN/>
        <w:bidi w:val="0"/>
        <w:adjustRightInd w:val="0"/>
        <w:snapToGrid w:val="0"/>
        <w:spacing w:before="65" w:line="233" w:lineRule="auto"/>
        <w:ind w:left="0" w:leftChars="0" w:firstLine="0" w:firstLineChars="0"/>
        <w:textAlignment w:val="auto"/>
        <w:outlineLvl w:val="9"/>
        <w:rPr>
          <w:rFonts w:hint="eastAsia" w:ascii="黑体" w:hAnsi="黑体" w:eastAsia="黑体" w:cs="黑体"/>
          <w:color w:val="auto"/>
          <w:spacing w:val="7"/>
          <w:sz w:val="31"/>
          <w:szCs w:val="31"/>
          <w:highlight w:val="none"/>
          <w:lang w:eastAsia="zh-CN"/>
          <w14:textOutline w14:w="5793" w14:cap="sq" w14:cmpd="sng">
            <w14:solidFill>
              <w14:srgbClr w14:val="000000"/>
            </w14:solidFill>
            <w14:prstDash w14:val="solid"/>
            <w14:bevel/>
          </w14:textOutline>
        </w:rPr>
      </w:pPr>
      <w:bookmarkStart w:id="172" w:name="_Toc29949"/>
      <w:bookmarkStart w:id="173" w:name="_Toc1120"/>
      <w:bookmarkStart w:id="174" w:name="_Toc3911"/>
    </w:p>
    <w:p>
      <w:pPr>
        <w:pStyle w:val="20"/>
        <w:rPr>
          <w:rFonts w:hint="eastAsia" w:ascii="黑体" w:hAnsi="黑体" w:eastAsia="黑体" w:cs="黑体"/>
          <w:color w:val="auto"/>
          <w:spacing w:val="7"/>
          <w:sz w:val="31"/>
          <w:szCs w:val="31"/>
          <w:highlight w:val="none"/>
          <w:lang w:eastAsia="zh-CN"/>
          <w14:textOutline w14:w="5793" w14:cap="sq" w14:cmpd="sng">
            <w14:solidFill>
              <w14:srgbClr w14:val="000000"/>
            </w14:solidFill>
            <w14:prstDash w14:val="solid"/>
            <w14:bevel/>
          </w14:textOutline>
        </w:rPr>
      </w:pPr>
    </w:p>
    <w:p>
      <w:pPr>
        <w:keepNext/>
        <w:keepLines w:val="0"/>
        <w:pageBreakBefore w:val="0"/>
        <w:widowControl w:val="0"/>
        <w:kinsoku/>
        <w:wordWrap/>
        <w:overflowPunct/>
        <w:topLinePunct w:val="0"/>
        <w:autoSpaceDE/>
        <w:autoSpaceDN/>
        <w:bidi w:val="0"/>
        <w:adjustRightInd w:val="0"/>
        <w:snapToGrid w:val="0"/>
        <w:spacing w:before="65" w:line="233" w:lineRule="auto"/>
        <w:ind w:left="0" w:leftChars="0" w:firstLine="0" w:firstLineChars="0"/>
        <w:textAlignment w:val="auto"/>
        <w:outlineLvl w:val="0"/>
        <w:rPr>
          <w:rFonts w:ascii="宋体" w:hAnsi="宋体" w:eastAsia="宋体" w:cs="宋体"/>
          <w:color w:val="auto"/>
          <w:kern w:val="0"/>
          <w:sz w:val="24"/>
          <w:szCs w:val="24"/>
          <w:highlight w:val="none"/>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bookmarkStart w:id="175" w:name="_Toc18837"/>
      <w:r>
        <w:rPr>
          <w:rFonts w:hint="eastAsia" w:ascii="黑体" w:hAnsi="黑体" w:eastAsia="黑体" w:cs="黑体"/>
          <w:color w:val="auto"/>
          <w:spacing w:val="7"/>
          <w:sz w:val="31"/>
          <w:szCs w:val="31"/>
          <w:highlight w:val="none"/>
          <w:lang w:eastAsia="zh-CN"/>
          <w14:textOutline w14:w="5793" w14:cap="sq" w14:cmpd="sng">
            <w14:solidFill>
              <w14:srgbClr w14:val="000000"/>
            </w14:solidFill>
            <w14:prstDash w14:val="solid"/>
            <w14:bevel/>
          </w14:textOutline>
        </w:rPr>
        <w:t>附图</w:t>
      </w:r>
      <w:bookmarkEnd w:id="172"/>
      <w:bookmarkEnd w:id="173"/>
      <w:bookmarkEnd w:id="174"/>
      <w:bookmarkEnd w:id="175"/>
    </w:p>
    <w:p>
      <w:pPr>
        <w:keepNext w:val="0"/>
        <w:keepLines w:val="0"/>
        <w:widowControl/>
        <w:suppressLineNumbers w:val="0"/>
        <w:jc w:val="center"/>
        <w:rPr>
          <w:b/>
          <w:sz w:val="21"/>
          <w:szCs w:val="21"/>
        </w:rPr>
      </w:pPr>
      <w:r>
        <w:rPr>
          <w:rFonts w:ascii="宋体" w:hAnsi="宋体" w:eastAsia="宋体" w:cs="宋体"/>
          <w:kern w:val="0"/>
          <w:sz w:val="24"/>
          <w:szCs w:val="24"/>
          <w:lang w:val="en-US" w:eastAsia="zh-CN" w:bidi="ar"/>
        </w:rPr>
        <w:drawing>
          <wp:inline distT="0" distB="0" distL="114300" distR="114300">
            <wp:extent cx="5824855" cy="5102225"/>
            <wp:effectExtent l="0" t="0" r="4445" b="317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8"/>
                    <a:stretch>
                      <a:fillRect/>
                    </a:stretch>
                  </pic:blipFill>
                  <pic:spPr>
                    <a:xfrm>
                      <a:off x="0" y="0"/>
                      <a:ext cx="5824855" cy="5102225"/>
                    </a:xfrm>
                    <a:prstGeom prst="rect">
                      <a:avLst/>
                    </a:prstGeom>
                    <a:noFill/>
                    <a:ln w="9525">
                      <a:noFill/>
                    </a:ln>
                  </pic:spPr>
                </pic:pic>
              </a:graphicData>
            </a:graphic>
          </wp:inline>
        </w:drawing>
      </w:r>
      <w:r>
        <w:rPr>
          <w:sz w:val="21"/>
        </w:rPr>
        <mc:AlternateContent>
          <mc:Choice Requires="wps">
            <w:drawing>
              <wp:anchor distT="0" distB="0" distL="114300" distR="114300" simplePos="0" relativeHeight="251661312" behindDoc="0" locked="0" layoutInCell="1" allowOverlap="1">
                <wp:simplePos x="0" y="0"/>
                <wp:positionH relativeFrom="column">
                  <wp:posOffset>2984500</wp:posOffset>
                </wp:positionH>
                <wp:positionV relativeFrom="paragraph">
                  <wp:posOffset>5097780</wp:posOffset>
                </wp:positionV>
                <wp:extent cx="3448050" cy="295275"/>
                <wp:effectExtent l="0" t="0" r="0" b="0"/>
                <wp:wrapNone/>
                <wp:docPr id="7" name="矩形 7"/>
                <wp:cNvGraphicFramePr/>
                <a:graphic xmlns:a="http://schemas.openxmlformats.org/drawingml/2006/main">
                  <a:graphicData uri="http://schemas.microsoft.com/office/word/2010/wordprocessingShape">
                    <wps:wsp>
                      <wps:cNvSpPr/>
                      <wps:spPr>
                        <a:xfrm>
                          <a:off x="3898900" y="6379845"/>
                          <a:ext cx="34480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策勒县地理位置</w:t>
                            </w:r>
                            <w:r>
                              <w:rPr>
                                <w:rFonts w:hint="eastAsia" w:ascii="仿宋" w:hAnsi="仿宋" w:eastAsia="仿宋" w:cs="仿宋"/>
                                <w:b/>
                                <w:bCs/>
                                <w:color w:val="000000" w:themeColor="text1"/>
                                <w14:textFill>
                                  <w14:solidFill>
                                    <w14:schemeClr w14:val="tx1"/>
                                  </w14:solidFill>
                                </w14:textFill>
                              </w:rPr>
                              <w:t>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401.4pt;height:23.25pt;width:271.5pt;z-index:251661312;v-text-anchor:middle;mso-width-relative:page;mso-height-relative:page;" filled="f" stroked="f" coordsize="21600,21600" o:gfxdata="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OfpETZAAAADAEA&#10;AA8AAAAAAAAAAQAgAAAAIgAAAGRycy9kb3ducmV2LnhtbFBLAQIUABQAAAAIAIdO4kCpRvd5UgIA&#10;AGsEAAAOAAAAAAAAAAEAIAAAACgBAABkcnMvZTJvRG9jLnhtbFBLBQYAAAAABgAGAFkBAADsBQAA&#10;AAA=&#10;">
                <v:fill on="f" focussize="0,0"/>
                <v:stroke on="f" weight="1pt" miterlimit="8" joinstyle="miter"/>
                <v:imagedata o:title=""/>
                <o:lock v:ext="edit" aspectratio="f"/>
                <v:textbox>
                  <w:txbxContent>
                    <w:p>
                      <w:pPr>
                        <w:jc w:val="center"/>
                        <w:rPr>
                          <w:color w:val="000000" w:themeColor="text1"/>
                          <w14:textFill>
                            <w14:solidFill>
                              <w14:schemeClr w14:val="tx1"/>
                            </w14:solidFill>
                          </w14:textFill>
                        </w:rPr>
                      </w:pPr>
                      <w:r>
                        <w:rPr>
                          <w:rFonts w:hint="eastAsia" w:ascii="仿宋" w:hAnsi="仿宋" w:eastAsia="仿宋" w:cs="仿宋"/>
                          <w:b/>
                          <w:bCs/>
                          <w:color w:val="000000" w:themeColor="text1"/>
                          <w:lang w:eastAsia="zh-CN"/>
                          <w14:textFill>
                            <w14:solidFill>
                              <w14:schemeClr w14:val="tx1"/>
                            </w14:solidFill>
                          </w14:textFill>
                        </w:rPr>
                        <w:t>策勒县地理位置</w:t>
                      </w:r>
                      <w:r>
                        <w:rPr>
                          <w:rFonts w:hint="eastAsia" w:ascii="仿宋" w:hAnsi="仿宋" w:eastAsia="仿宋" w:cs="仿宋"/>
                          <w:b/>
                          <w:bCs/>
                          <w:color w:val="000000" w:themeColor="text1"/>
                          <w14:textFill>
                            <w14:solidFill>
                              <w14:schemeClr w14:val="tx1"/>
                            </w14:solidFill>
                          </w14:textFill>
                        </w:rPr>
                        <w:t>图</w:t>
                      </w:r>
                    </w:p>
                  </w:txbxContent>
                </v:textbox>
              </v:rect>
            </w:pict>
          </mc:Fallback>
        </mc:AlternateContent>
      </w: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Calibri Light">
    <w:panose1 w:val="020F0302020204030204"/>
    <w:charset w:val="00"/>
    <w:family w:val="auto"/>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华文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6"/>
                      <w:rPr>
                        <w:rFonts w:hint="eastAsia" w:eastAsia="华文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华文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16"/>
                      <w:rPr>
                        <w:rFonts w:hint="eastAsia" w:eastAsia="华文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C16662"/>
    <w:multiLevelType w:val="singleLevel"/>
    <w:tmpl w:val="C0C16662"/>
    <w:lvl w:ilvl="0" w:tentative="0">
      <w:start w:val="3"/>
      <w:numFmt w:val="chineseCounting"/>
      <w:suff w:val="nothing"/>
      <w:lvlText w:val="（%1）"/>
      <w:lvlJc w:val="left"/>
      <w:rPr>
        <w:rFonts w:hint="eastAsia"/>
      </w:rPr>
    </w:lvl>
  </w:abstractNum>
  <w:abstractNum w:abstractNumId="1">
    <w:nsid w:val="1BCBA1BC"/>
    <w:multiLevelType w:val="singleLevel"/>
    <w:tmpl w:val="1BCBA1BC"/>
    <w:lvl w:ilvl="0" w:tentative="0">
      <w:start w:val="5"/>
      <w:numFmt w:val="chineseCounting"/>
      <w:suff w:val="nothing"/>
      <w:lvlText w:val="%1、"/>
      <w:lvlJc w:val="left"/>
      <w:rPr>
        <w:rFonts w:hint="eastAsia"/>
      </w:rPr>
    </w:lvl>
  </w:abstractNum>
  <w:abstractNum w:abstractNumId="2">
    <w:nsid w:val="2C65C2DC"/>
    <w:multiLevelType w:val="multilevel"/>
    <w:tmpl w:val="2C65C2DC"/>
    <w:lvl w:ilvl="0" w:tentative="0">
      <w:start w:val="1"/>
      <w:numFmt w:val="chineseCounting"/>
      <w:pStyle w:val="3"/>
      <w:suff w:val="nothing"/>
      <w:lvlText w:val="第%1章 "/>
      <w:lvlJc w:val="left"/>
      <w:pPr>
        <w:ind w:left="432" w:hanging="432"/>
      </w:pPr>
      <w:rPr>
        <w:rFonts w:hint="eastAsia"/>
      </w:rPr>
    </w:lvl>
    <w:lvl w:ilvl="1" w:tentative="0">
      <w:start w:val="1"/>
      <w:numFmt w:val="decimal"/>
      <w:pStyle w:val="4"/>
      <w:isLgl/>
      <w:lvlText w:val="%1.%2."/>
      <w:lvlJc w:val="left"/>
      <w:pPr>
        <w:ind w:left="575" w:hanging="575"/>
      </w:pPr>
      <w:rPr>
        <w:rFonts w:hint="eastAsia"/>
      </w:rPr>
    </w:lvl>
    <w:lvl w:ilvl="2" w:tentative="0">
      <w:start w:val="1"/>
      <w:numFmt w:val="decimal"/>
      <w:pStyle w:val="2"/>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9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xM2YwN2JhNDA1Y2NkYjNiYmRkNTI0YmFiODc1ZmQifQ=="/>
  </w:docVars>
  <w:rsids>
    <w:rsidRoot w:val="09EB7AF4"/>
    <w:rsid w:val="002A2675"/>
    <w:rsid w:val="0050638A"/>
    <w:rsid w:val="00CB1EB4"/>
    <w:rsid w:val="00E006CA"/>
    <w:rsid w:val="00F110F1"/>
    <w:rsid w:val="01304380"/>
    <w:rsid w:val="013D0DB7"/>
    <w:rsid w:val="01C563DE"/>
    <w:rsid w:val="01CD7566"/>
    <w:rsid w:val="020A2F75"/>
    <w:rsid w:val="02321FF7"/>
    <w:rsid w:val="02663C42"/>
    <w:rsid w:val="02D05560"/>
    <w:rsid w:val="030B6A53"/>
    <w:rsid w:val="030F436B"/>
    <w:rsid w:val="040B7160"/>
    <w:rsid w:val="047A5783"/>
    <w:rsid w:val="04846E71"/>
    <w:rsid w:val="04D94B9F"/>
    <w:rsid w:val="04F1234B"/>
    <w:rsid w:val="04F2010D"/>
    <w:rsid w:val="051C683A"/>
    <w:rsid w:val="057660B9"/>
    <w:rsid w:val="05954730"/>
    <w:rsid w:val="05AE1CAD"/>
    <w:rsid w:val="05FC3F93"/>
    <w:rsid w:val="064E3967"/>
    <w:rsid w:val="067439D1"/>
    <w:rsid w:val="06AB256C"/>
    <w:rsid w:val="06D92EB4"/>
    <w:rsid w:val="06F10948"/>
    <w:rsid w:val="072F6440"/>
    <w:rsid w:val="073A38EF"/>
    <w:rsid w:val="07464106"/>
    <w:rsid w:val="0767224B"/>
    <w:rsid w:val="07D433FC"/>
    <w:rsid w:val="07DF4634"/>
    <w:rsid w:val="087436DF"/>
    <w:rsid w:val="08762705"/>
    <w:rsid w:val="08DA2C94"/>
    <w:rsid w:val="08DE5F9F"/>
    <w:rsid w:val="0949606C"/>
    <w:rsid w:val="095962AF"/>
    <w:rsid w:val="09774987"/>
    <w:rsid w:val="09976DD7"/>
    <w:rsid w:val="099E3CC2"/>
    <w:rsid w:val="09E910C3"/>
    <w:rsid w:val="09EB7AF4"/>
    <w:rsid w:val="0A0A4BCE"/>
    <w:rsid w:val="0A277C0A"/>
    <w:rsid w:val="0A6273E5"/>
    <w:rsid w:val="0A6E0094"/>
    <w:rsid w:val="0A75680A"/>
    <w:rsid w:val="0A7657F7"/>
    <w:rsid w:val="0A9D0236"/>
    <w:rsid w:val="0AE177BA"/>
    <w:rsid w:val="0B354525"/>
    <w:rsid w:val="0B3C5A66"/>
    <w:rsid w:val="0B622D7C"/>
    <w:rsid w:val="0B715A1D"/>
    <w:rsid w:val="0BBA4FFF"/>
    <w:rsid w:val="0BCE4606"/>
    <w:rsid w:val="0C0A014A"/>
    <w:rsid w:val="0C3D1EB8"/>
    <w:rsid w:val="0C8B3154"/>
    <w:rsid w:val="0CC232F8"/>
    <w:rsid w:val="0CCB391D"/>
    <w:rsid w:val="0CDE2879"/>
    <w:rsid w:val="0D30692A"/>
    <w:rsid w:val="0D38442D"/>
    <w:rsid w:val="0DA0122C"/>
    <w:rsid w:val="0DA7689A"/>
    <w:rsid w:val="0DAA0F25"/>
    <w:rsid w:val="0DD52CE6"/>
    <w:rsid w:val="0E0B07B8"/>
    <w:rsid w:val="0E15103E"/>
    <w:rsid w:val="0E236E8B"/>
    <w:rsid w:val="0EC71F0D"/>
    <w:rsid w:val="0EFB63D6"/>
    <w:rsid w:val="0F512501"/>
    <w:rsid w:val="0F866B20"/>
    <w:rsid w:val="0F890F70"/>
    <w:rsid w:val="0FC20A5D"/>
    <w:rsid w:val="1041184B"/>
    <w:rsid w:val="10504AF0"/>
    <w:rsid w:val="10785A53"/>
    <w:rsid w:val="10833C11"/>
    <w:rsid w:val="10AC13BA"/>
    <w:rsid w:val="10C31D27"/>
    <w:rsid w:val="1122342A"/>
    <w:rsid w:val="1142587A"/>
    <w:rsid w:val="11554676"/>
    <w:rsid w:val="118C2F92"/>
    <w:rsid w:val="11916667"/>
    <w:rsid w:val="11EA3D96"/>
    <w:rsid w:val="12176D07"/>
    <w:rsid w:val="121A640D"/>
    <w:rsid w:val="12333415"/>
    <w:rsid w:val="123B2EA4"/>
    <w:rsid w:val="123F14C6"/>
    <w:rsid w:val="12577104"/>
    <w:rsid w:val="128E5294"/>
    <w:rsid w:val="12962A8F"/>
    <w:rsid w:val="12E32F63"/>
    <w:rsid w:val="131E4740"/>
    <w:rsid w:val="133B2F48"/>
    <w:rsid w:val="13DA6B09"/>
    <w:rsid w:val="148B578A"/>
    <w:rsid w:val="14D92901"/>
    <w:rsid w:val="14FD2C90"/>
    <w:rsid w:val="15322688"/>
    <w:rsid w:val="1595275D"/>
    <w:rsid w:val="15997EA9"/>
    <w:rsid w:val="159E5049"/>
    <w:rsid w:val="15E72269"/>
    <w:rsid w:val="16165677"/>
    <w:rsid w:val="16563E13"/>
    <w:rsid w:val="1656448B"/>
    <w:rsid w:val="16B26FFE"/>
    <w:rsid w:val="16BD39C5"/>
    <w:rsid w:val="16D33B4F"/>
    <w:rsid w:val="16EE796F"/>
    <w:rsid w:val="16F76A7B"/>
    <w:rsid w:val="172F1463"/>
    <w:rsid w:val="178070FD"/>
    <w:rsid w:val="17850F0E"/>
    <w:rsid w:val="17A27536"/>
    <w:rsid w:val="17D56400"/>
    <w:rsid w:val="17D84B5C"/>
    <w:rsid w:val="17EA27C8"/>
    <w:rsid w:val="183E6572"/>
    <w:rsid w:val="18595A12"/>
    <w:rsid w:val="187559C4"/>
    <w:rsid w:val="18A94843"/>
    <w:rsid w:val="18B90B18"/>
    <w:rsid w:val="18D05E62"/>
    <w:rsid w:val="191B4734"/>
    <w:rsid w:val="193C7053"/>
    <w:rsid w:val="199E7D0E"/>
    <w:rsid w:val="19A46B51"/>
    <w:rsid w:val="19A81450"/>
    <w:rsid w:val="19BF7295"/>
    <w:rsid w:val="1A417BC8"/>
    <w:rsid w:val="1A4C59BC"/>
    <w:rsid w:val="1A9F589C"/>
    <w:rsid w:val="1AD722FD"/>
    <w:rsid w:val="1ADD6614"/>
    <w:rsid w:val="1AF65016"/>
    <w:rsid w:val="1BCF7740"/>
    <w:rsid w:val="1BE67576"/>
    <w:rsid w:val="1BF7155D"/>
    <w:rsid w:val="1C19367C"/>
    <w:rsid w:val="1C662803"/>
    <w:rsid w:val="1C7A35CA"/>
    <w:rsid w:val="1D061472"/>
    <w:rsid w:val="1D4E37F9"/>
    <w:rsid w:val="1D7F67FE"/>
    <w:rsid w:val="1DAF6046"/>
    <w:rsid w:val="1DC35F95"/>
    <w:rsid w:val="1E002188"/>
    <w:rsid w:val="1E034FA4"/>
    <w:rsid w:val="1E562A9C"/>
    <w:rsid w:val="1E6567BB"/>
    <w:rsid w:val="1E805C34"/>
    <w:rsid w:val="1EAA11AA"/>
    <w:rsid w:val="1EF20ACF"/>
    <w:rsid w:val="1F133E95"/>
    <w:rsid w:val="1F3F33F9"/>
    <w:rsid w:val="1F526068"/>
    <w:rsid w:val="1F724196"/>
    <w:rsid w:val="1F784FA3"/>
    <w:rsid w:val="1FED72F9"/>
    <w:rsid w:val="203461A5"/>
    <w:rsid w:val="203C19CC"/>
    <w:rsid w:val="205632FF"/>
    <w:rsid w:val="205C7C09"/>
    <w:rsid w:val="20752F15"/>
    <w:rsid w:val="20C04743"/>
    <w:rsid w:val="20D02E71"/>
    <w:rsid w:val="20D35F6E"/>
    <w:rsid w:val="20D8322F"/>
    <w:rsid w:val="20FC568F"/>
    <w:rsid w:val="21016A60"/>
    <w:rsid w:val="21535021"/>
    <w:rsid w:val="21664DF8"/>
    <w:rsid w:val="21AE2AB8"/>
    <w:rsid w:val="21B24634"/>
    <w:rsid w:val="21CB3942"/>
    <w:rsid w:val="22A53EBB"/>
    <w:rsid w:val="22BC58E4"/>
    <w:rsid w:val="23AF4FDA"/>
    <w:rsid w:val="23F029A0"/>
    <w:rsid w:val="2426102C"/>
    <w:rsid w:val="244F451E"/>
    <w:rsid w:val="248C06EF"/>
    <w:rsid w:val="251B0465"/>
    <w:rsid w:val="25286C0F"/>
    <w:rsid w:val="252E63EA"/>
    <w:rsid w:val="253E30CF"/>
    <w:rsid w:val="25B14925"/>
    <w:rsid w:val="25B21B8A"/>
    <w:rsid w:val="25DA526E"/>
    <w:rsid w:val="260B04D9"/>
    <w:rsid w:val="266A2380"/>
    <w:rsid w:val="27466F3A"/>
    <w:rsid w:val="27764078"/>
    <w:rsid w:val="279938C3"/>
    <w:rsid w:val="27BC5F2F"/>
    <w:rsid w:val="28027848"/>
    <w:rsid w:val="282C5F10"/>
    <w:rsid w:val="28575C58"/>
    <w:rsid w:val="288602EB"/>
    <w:rsid w:val="28A95D87"/>
    <w:rsid w:val="28C13D4F"/>
    <w:rsid w:val="296028EA"/>
    <w:rsid w:val="29896CC9"/>
    <w:rsid w:val="29EA3F3C"/>
    <w:rsid w:val="29EE3B18"/>
    <w:rsid w:val="2A0E16D8"/>
    <w:rsid w:val="2A510485"/>
    <w:rsid w:val="2A613F72"/>
    <w:rsid w:val="2A703001"/>
    <w:rsid w:val="2A7A0E57"/>
    <w:rsid w:val="2A9C2048"/>
    <w:rsid w:val="2B0025D7"/>
    <w:rsid w:val="2B0534CA"/>
    <w:rsid w:val="2B1A74FD"/>
    <w:rsid w:val="2C041BC6"/>
    <w:rsid w:val="2C3B0F6B"/>
    <w:rsid w:val="2CF41CC7"/>
    <w:rsid w:val="2DD1025A"/>
    <w:rsid w:val="2DD71F55"/>
    <w:rsid w:val="2E0A52EF"/>
    <w:rsid w:val="2E2760CC"/>
    <w:rsid w:val="2E3D58F0"/>
    <w:rsid w:val="2E421F93"/>
    <w:rsid w:val="2E4F7C8B"/>
    <w:rsid w:val="2E794F10"/>
    <w:rsid w:val="2E840E29"/>
    <w:rsid w:val="2E8C1E2D"/>
    <w:rsid w:val="2E8F27B4"/>
    <w:rsid w:val="2EF01B85"/>
    <w:rsid w:val="2F0E342D"/>
    <w:rsid w:val="2F452CAE"/>
    <w:rsid w:val="2F510C78"/>
    <w:rsid w:val="2F601896"/>
    <w:rsid w:val="2F9F0701"/>
    <w:rsid w:val="2FB27B23"/>
    <w:rsid w:val="303F594F"/>
    <w:rsid w:val="30491410"/>
    <w:rsid w:val="30801AC4"/>
    <w:rsid w:val="311C5ADF"/>
    <w:rsid w:val="312F29DD"/>
    <w:rsid w:val="3203475A"/>
    <w:rsid w:val="320603EC"/>
    <w:rsid w:val="3217341F"/>
    <w:rsid w:val="32854AD0"/>
    <w:rsid w:val="32AB41C0"/>
    <w:rsid w:val="32EE6F70"/>
    <w:rsid w:val="3306673A"/>
    <w:rsid w:val="33114C55"/>
    <w:rsid w:val="33382549"/>
    <w:rsid w:val="3346234F"/>
    <w:rsid w:val="33686F6B"/>
    <w:rsid w:val="337E1556"/>
    <w:rsid w:val="33863895"/>
    <w:rsid w:val="338F70ED"/>
    <w:rsid w:val="33947D60"/>
    <w:rsid w:val="33F24A4C"/>
    <w:rsid w:val="340653DF"/>
    <w:rsid w:val="345474EF"/>
    <w:rsid w:val="346A6D13"/>
    <w:rsid w:val="34A97B01"/>
    <w:rsid w:val="34BD0CF3"/>
    <w:rsid w:val="34E15227"/>
    <w:rsid w:val="34EE472D"/>
    <w:rsid w:val="34FA3752"/>
    <w:rsid w:val="35154ED0"/>
    <w:rsid w:val="351C000D"/>
    <w:rsid w:val="35415C73"/>
    <w:rsid w:val="35B87615"/>
    <w:rsid w:val="35BF11A7"/>
    <w:rsid w:val="36217953"/>
    <w:rsid w:val="36290D84"/>
    <w:rsid w:val="3655088D"/>
    <w:rsid w:val="36690C06"/>
    <w:rsid w:val="368B75FB"/>
    <w:rsid w:val="36912A71"/>
    <w:rsid w:val="369364D4"/>
    <w:rsid w:val="36A4563C"/>
    <w:rsid w:val="37190F23"/>
    <w:rsid w:val="3729246B"/>
    <w:rsid w:val="372B6808"/>
    <w:rsid w:val="375077B5"/>
    <w:rsid w:val="375C41D5"/>
    <w:rsid w:val="37B035E2"/>
    <w:rsid w:val="37C64260"/>
    <w:rsid w:val="37D156AA"/>
    <w:rsid w:val="38342CCA"/>
    <w:rsid w:val="384756D8"/>
    <w:rsid w:val="385C4BC4"/>
    <w:rsid w:val="387243E8"/>
    <w:rsid w:val="38B81C83"/>
    <w:rsid w:val="38D46E50"/>
    <w:rsid w:val="38E8321F"/>
    <w:rsid w:val="38FE11AE"/>
    <w:rsid w:val="39EB6200"/>
    <w:rsid w:val="39FF77D8"/>
    <w:rsid w:val="3A834499"/>
    <w:rsid w:val="3AA93274"/>
    <w:rsid w:val="3AE426D0"/>
    <w:rsid w:val="3B7D557D"/>
    <w:rsid w:val="3BD94502"/>
    <w:rsid w:val="3BE86E9B"/>
    <w:rsid w:val="3BEA1C9E"/>
    <w:rsid w:val="3C822F4C"/>
    <w:rsid w:val="3C9B215F"/>
    <w:rsid w:val="3CC23F4F"/>
    <w:rsid w:val="3CC65F65"/>
    <w:rsid w:val="3CCB0619"/>
    <w:rsid w:val="3CF53441"/>
    <w:rsid w:val="3D0E1274"/>
    <w:rsid w:val="3D4A3D37"/>
    <w:rsid w:val="3DBD44F1"/>
    <w:rsid w:val="3DDE2232"/>
    <w:rsid w:val="3DEE62BF"/>
    <w:rsid w:val="3E1D6BA4"/>
    <w:rsid w:val="3E29379B"/>
    <w:rsid w:val="3E347550"/>
    <w:rsid w:val="3E974BA8"/>
    <w:rsid w:val="3ECA1AEB"/>
    <w:rsid w:val="3F092F8A"/>
    <w:rsid w:val="3F141D55"/>
    <w:rsid w:val="3F146E18"/>
    <w:rsid w:val="3F710F55"/>
    <w:rsid w:val="3FE031AF"/>
    <w:rsid w:val="402D716B"/>
    <w:rsid w:val="403326AF"/>
    <w:rsid w:val="4050500F"/>
    <w:rsid w:val="40842F0A"/>
    <w:rsid w:val="40DC33B5"/>
    <w:rsid w:val="40E67721"/>
    <w:rsid w:val="41514A8A"/>
    <w:rsid w:val="4156362F"/>
    <w:rsid w:val="416F59B6"/>
    <w:rsid w:val="41A75102"/>
    <w:rsid w:val="41C80AE4"/>
    <w:rsid w:val="41E47BD2"/>
    <w:rsid w:val="422E5823"/>
    <w:rsid w:val="42732B81"/>
    <w:rsid w:val="42847992"/>
    <w:rsid w:val="432B3B11"/>
    <w:rsid w:val="433F4755"/>
    <w:rsid w:val="434C18EB"/>
    <w:rsid w:val="439873F8"/>
    <w:rsid w:val="43C6028E"/>
    <w:rsid w:val="43CA332A"/>
    <w:rsid w:val="44632AA6"/>
    <w:rsid w:val="44BC709F"/>
    <w:rsid w:val="44CB7266"/>
    <w:rsid w:val="44CC7678"/>
    <w:rsid w:val="45231A6D"/>
    <w:rsid w:val="453410FC"/>
    <w:rsid w:val="45433394"/>
    <w:rsid w:val="45A17C5F"/>
    <w:rsid w:val="45B62691"/>
    <w:rsid w:val="45E63DFA"/>
    <w:rsid w:val="46A55988"/>
    <w:rsid w:val="46B8390E"/>
    <w:rsid w:val="46CC6BDA"/>
    <w:rsid w:val="46DC27B1"/>
    <w:rsid w:val="46EB5A91"/>
    <w:rsid w:val="47017EC7"/>
    <w:rsid w:val="4723347D"/>
    <w:rsid w:val="47370CD6"/>
    <w:rsid w:val="47680E90"/>
    <w:rsid w:val="478D6D55"/>
    <w:rsid w:val="47AC36FF"/>
    <w:rsid w:val="480706A9"/>
    <w:rsid w:val="481D611E"/>
    <w:rsid w:val="48226F00"/>
    <w:rsid w:val="483E655B"/>
    <w:rsid w:val="48583BFB"/>
    <w:rsid w:val="48836121"/>
    <w:rsid w:val="48A40258"/>
    <w:rsid w:val="4906742D"/>
    <w:rsid w:val="491D2B91"/>
    <w:rsid w:val="49B04D70"/>
    <w:rsid w:val="49B529C1"/>
    <w:rsid w:val="4A201EF6"/>
    <w:rsid w:val="4A2E2A10"/>
    <w:rsid w:val="4A5320DD"/>
    <w:rsid w:val="4A787111"/>
    <w:rsid w:val="4A7E6C93"/>
    <w:rsid w:val="4AE90539"/>
    <w:rsid w:val="4AF63D48"/>
    <w:rsid w:val="4B0A16DA"/>
    <w:rsid w:val="4B220CF3"/>
    <w:rsid w:val="4B2B6DA4"/>
    <w:rsid w:val="4B3E260E"/>
    <w:rsid w:val="4C3E2501"/>
    <w:rsid w:val="4C672A37"/>
    <w:rsid w:val="4C7B1665"/>
    <w:rsid w:val="4C940979"/>
    <w:rsid w:val="4C9D15DC"/>
    <w:rsid w:val="4CE66B30"/>
    <w:rsid w:val="4D047699"/>
    <w:rsid w:val="4D05306A"/>
    <w:rsid w:val="4D0E4287"/>
    <w:rsid w:val="4D2A6229"/>
    <w:rsid w:val="4D50241D"/>
    <w:rsid w:val="4DA937CB"/>
    <w:rsid w:val="4DAE0D38"/>
    <w:rsid w:val="4DF25957"/>
    <w:rsid w:val="4E0572B3"/>
    <w:rsid w:val="4E0E4409"/>
    <w:rsid w:val="4E1F5D14"/>
    <w:rsid w:val="4E265601"/>
    <w:rsid w:val="4E7A5C74"/>
    <w:rsid w:val="4E834801"/>
    <w:rsid w:val="4EA533B8"/>
    <w:rsid w:val="4EB938CE"/>
    <w:rsid w:val="4EE9618F"/>
    <w:rsid w:val="4F1E1CA2"/>
    <w:rsid w:val="4F2D0814"/>
    <w:rsid w:val="4F4026F2"/>
    <w:rsid w:val="4FE10A4D"/>
    <w:rsid w:val="512C5624"/>
    <w:rsid w:val="512E314A"/>
    <w:rsid w:val="51E83399"/>
    <w:rsid w:val="5252714E"/>
    <w:rsid w:val="5268268C"/>
    <w:rsid w:val="52852F59"/>
    <w:rsid w:val="52DF030A"/>
    <w:rsid w:val="52FA5561"/>
    <w:rsid w:val="532F31A9"/>
    <w:rsid w:val="534A7224"/>
    <w:rsid w:val="53971973"/>
    <w:rsid w:val="540006A2"/>
    <w:rsid w:val="540D3B1D"/>
    <w:rsid w:val="540F3ADB"/>
    <w:rsid w:val="54501629"/>
    <w:rsid w:val="54B03D1E"/>
    <w:rsid w:val="54DB5397"/>
    <w:rsid w:val="55314FB7"/>
    <w:rsid w:val="5536069B"/>
    <w:rsid w:val="55CA0CEB"/>
    <w:rsid w:val="563028DD"/>
    <w:rsid w:val="565E3DEE"/>
    <w:rsid w:val="568F468B"/>
    <w:rsid w:val="56B7408F"/>
    <w:rsid w:val="56EC2172"/>
    <w:rsid w:val="570861EB"/>
    <w:rsid w:val="571C36CA"/>
    <w:rsid w:val="573F21C2"/>
    <w:rsid w:val="574B7E86"/>
    <w:rsid w:val="58A2633D"/>
    <w:rsid w:val="58D9336F"/>
    <w:rsid w:val="58E6255C"/>
    <w:rsid w:val="59011832"/>
    <w:rsid w:val="592B6880"/>
    <w:rsid w:val="5972514C"/>
    <w:rsid w:val="59737D5B"/>
    <w:rsid w:val="59741916"/>
    <w:rsid w:val="59945A6C"/>
    <w:rsid w:val="59CC52AE"/>
    <w:rsid w:val="59D2663D"/>
    <w:rsid w:val="59FA6915"/>
    <w:rsid w:val="5A3E3CD2"/>
    <w:rsid w:val="5B98688B"/>
    <w:rsid w:val="5BB26726"/>
    <w:rsid w:val="5BCB3DE2"/>
    <w:rsid w:val="5BD46845"/>
    <w:rsid w:val="5BFB7CFF"/>
    <w:rsid w:val="5C9F314E"/>
    <w:rsid w:val="5CA35CFA"/>
    <w:rsid w:val="5CF23B34"/>
    <w:rsid w:val="5D681A23"/>
    <w:rsid w:val="5D735959"/>
    <w:rsid w:val="5D9361B3"/>
    <w:rsid w:val="5DAC0F2F"/>
    <w:rsid w:val="5DEB620A"/>
    <w:rsid w:val="5E1216FE"/>
    <w:rsid w:val="5E4D0988"/>
    <w:rsid w:val="5E6E1B79"/>
    <w:rsid w:val="5EA06FA2"/>
    <w:rsid w:val="5F555C9B"/>
    <w:rsid w:val="5F5D1018"/>
    <w:rsid w:val="5FB93BD4"/>
    <w:rsid w:val="601C4AB5"/>
    <w:rsid w:val="602B6AA7"/>
    <w:rsid w:val="60365B77"/>
    <w:rsid w:val="604F6B87"/>
    <w:rsid w:val="60632D37"/>
    <w:rsid w:val="60710CB2"/>
    <w:rsid w:val="60AF6BE4"/>
    <w:rsid w:val="60CA7AAA"/>
    <w:rsid w:val="613A1509"/>
    <w:rsid w:val="61675733"/>
    <w:rsid w:val="617D79AD"/>
    <w:rsid w:val="61AE5BC6"/>
    <w:rsid w:val="61D33958"/>
    <w:rsid w:val="61EC0F5C"/>
    <w:rsid w:val="61F730E4"/>
    <w:rsid w:val="6226033F"/>
    <w:rsid w:val="62EE0FD5"/>
    <w:rsid w:val="63150803"/>
    <w:rsid w:val="633604BC"/>
    <w:rsid w:val="635C2E85"/>
    <w:rsid w:val="635F53E5"/>
    <w:rsid w:val="63A64CE9"/>
    <w:rsid w:val="63B3701E"/>
    <w:rsid w:val="642D35CC"/>
    <w:rsid w:val="64BA6A91"/>
    <w:rsid w:val="64CB2DB8"/>
    <w:rsid w:val="64EA66C1"/>
    <w:rsid w:val="64F5101F"/>
    <w:rsid w:val="6550543C"/>
    <w:rsid w:val="658C512E"/>
    <w:rsid w:val="65B8702E"/>
    <w:rsid w:val="65BA6903"/>
    <w:rsid w:val="65BF660F"/>
    <w:rsid w:val="66521858"/>
    <w:rsid w:val="6660316B"/>
    <w:rsid w:val="66E31E89"/>
    <w:rsid w:val="66F44096"/>
    <w:rsid w:val="670D5158"/>
    <w:rsid w:val="6726180F"/>
    <w:rsid w:val="674943E2"/>
    <w:rsid w:val="67D54EAE"/>
    <w:rsid w:val="6806660E"/>
    <w:rsid w:val="680A3138"/>
    <w:rsid w:val="68684D3C"/>
    <w:rsid w:val="68C31F72"/>
    <w:rsid w:val="68F148CF"/>
    <w:rsid w:val="69012772"/>
    <w:rsid w:val="690701F4"/>
    <w:rsid w:val="693F5ED5"/>
    <w:rsid w:val="69562DE6"/>
    <w:rsid w:val="69CD26D5"/>
    <w:rsid w:val="69EB1780"/>
    <w:rsid w:val="6A02251D"/>
    <w:rsid w:val="6A1078AA"/>
    <w:rsid w:val="6A157E84"/>
    <w:rsid w:val="6A197F07"/>
    <w:rsid w:val="6A746B99"/>
    <w:rsid w:val="6A86634A"/>
    <w:rsid w:val="6AA04426"/>
    <w:rsid w:val="6ABD7DF6"/>
    <w:rsid w:val="6AC66C31"/>
    <w:rsid w:val="6AD96D7C"/>
    <w:rsid w:val="6ADC731B"/>
    <w:rsid w:val="6B4D6456"/>
    <w:rsid w:val="6B4F513E"/>
    <w:rsid w:val="6B9E2823"/>
    <w:rsid w:val="6BA216AA"/>
    <w:rsid w:val="6C030E45"/>
    <w:rsid w:val="6C3325FC"/>
    <w:rsid w:val="6C3E0B08"/>
    <w:rsid w:val="6C5858F2"/>
    <w:rsid w:val="6CD62E82"/>
    <w:rsid w:val="6D3213CA"/>
    <w:rsid w:val="6D6D294A"/>
    <w:rsid w:val="6DB75ADB"/>
    <w:rsid w:val="6DCE5F9E"/>
    <w:rsid w:val="6DD95F03"/>
    <w:rsid w:val="6DE05374"/>
    <w:rsid w:val="6E23173C"/>
    <w:rsid w:val="6ED33475"/>
    <w:rsid w:val="6EE43E26"/>
    <w:rsid w:val="6F1918D1"/>
    <w:rsid w:val="6F4A519B"/>
    <w:rsid w:val="6F525DFE"/>
    <w:rsid w:val="6F7C598B"/>
    <w:rsid w:val="6F8A6EE4"/>
    <w:rsid w:val="6FA32694"/>
    <w:rsid w:val="6FBB1BF5"/>
    <w:rsid w:val="6FCA008A"/>
    <w:rsid w:val="6FE65F90"/>
    <w:rsid w:val="70446E6F"/>
    <w:rsid w:val="70EC5DDE"/>
    <w:rsid w:val="70F92CB6"/>
    <w:rsid w:val="71197BC4"/>
    <w:rsid w:val="715753E3"/>
    <w:rsid w:val="716167CC"/>
    <w:rsid w:val="717E737E"/>
    <w:rsid w:val="71C4758F"/>
    <w:rsid w:val="71C9545F"/>
    <w:rsid w:val="71E03B95"/>
    <w:rsid w:val="7251239D"/>
    <w:rsid w:val="729130E1"/>
    <w:rsid w:val="72CB65F3"/>
    <w:rsid w:val="730D09BA"/>
    <w:rsid w:val="73155EB6"/>
    <w:rsid w:val="739048F8"/>
    <w:rsid w:val="73B40E35"/>
    <w:rsid w:val="74116287"/>
    <w:rsid w:val="74904960"/>
    <w:rsid w:val="74C01A5C"/>
    <w:rsid w:val="75504B8E"/>
    <w:rsid w:val="756E14B8"/>
    <w:rsid w:val="75A650F5"/>
    <w:rsid w:val="75C8122B"/>
    <w:rsid w:val="75F145C2"/>
    <w:rsid w:val="76404470"/>
    <w:rsid w:val="76426BCC"/>
    <w:rsid w:val="76465F91"/>
    <w:rsid w:val="764918BB"/>
    <w:rsid w:val="768A40CF"/>
    <w:rsid w:val="76AF7FDA"/>
    <w:rsid w:val="76B75E25"/>
    <w:rsid w:val="76CE66B2"/>
    <w:rsid w:val="770F36AA"/>
    <w:rsid w:val="77104B84"/>
    <w:rsid w:val="77214598"/>
    <w:rsid w:val="772B0EB5"/>
    <w:rsid w:val="772F00D3"/>
    <w:rsid w:val="7735228D"/>
    <w:rsid w:val="77626DFA"/>
    <w:rsid w:val="77674410"/>
    <w:rsid w:val="7802688B"/>
    <w:rsid w:val="782F658E"/>
    <w:rsid w:val="783262AF"/>
    <w:rsid w:val="78895204"/>
    <w:rsid w:val="7908551F"/>
    <w:rsid w:val="7933263B"/>
    <w:rsid w:val="793A186A"/>
    <w:rsid w:val="793F67D6"/>
    <w:rsid w:val="79545639"/>
    <w:rsid w:val="79825532"/>
    <w:rsid w:val="798D2F98"/>
    <w:rsid w:val="79AE22A9"/>
    <w:rsid w:val="79B15412"/>
    <w:rsid w:val="79C01D8D"/>
    <w:rsid w:val="79C1605A"/>
    <w:rsid w:val="7A2B7F79"/>
    <w:rsid w:val="7A381CC9"/>
    <w:rsid w:val="7A3C12B8"/>
    <w:rsid w:val="7AAB2866"/>
    <w:rsid w:val="7AAF1560"/>
    <w:rsid w:val="7AD153FA"/>
    <w:rsid w:val="7AE97717"/>
    <w:rsid w:val="7AEE2274"/>
    <w:rsid w:val="7B5D22FB"/>
    <w:rsid w:val="7B7529B0"/>
    <w:rsid w:val="7BAB5214"/>
    <w:rsid w:val="7BDF4605"/>
    <w:rsid w:val="7BEC5114"/>
    <w:rsid w:val="7C445F6B"/>
    <w:rsid w:val="7C63789C"/>
    <w:rsid w:val="7CD020FA"/>
    <w:rsid w:val="7D180687"/>
    <w:rsid w:val="7D1A5F4D"/>
    <w:rsid w:val="7D4C78FF"/>
    <w:rsid w:val="7D9121E7"/>
    <w:rsid w:val="7E282B4B"/>
    <w:rsid w:val="7E2B0F37"/>
    <w:rsid w:val="7EBF5EC4"/>
    <w:rsid w:val="7ECA60E8"/>
    <w:rsid w:val="7F482A89"/>
    <w:rsid w:val="7F7B6CAB"/>
    <w:rsid w:val="7F9D1317"/>
    <w:rsid w:val="7FA52C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eepNext w:val="0"/>
      <w:widowControl w:val="0"/>
      <w:kinsoku/>
      <w:overflowPunct/>
      <w:adjustRightInd w:val="0"/>
      <w:snapToGrid w:val="0"/>
      <w:spacing w:line="360" w:lineRule="auto"/>
      <w:ind w:firstLine="200" w:firstLineChars="200"/>
      <w:jc w:val="both"/>
    </w:pPr>
    <w:rPr>
      <w:rFonts w:eastAsia="华文仿宋" w:asciiTheme="minorAscii" w:hAnsiTheme="minorAscii" w:cstheme="minorBidi"/>
      <w:kern w:val="2"/>
      <w:sz w:val="28"/>
      <w:szCs w:val="22"/>
      <w:lang w:val="en-US" w:eastAsia="zh-CN" w:bidi="ar-SA"/>
    </w:rPr>
  </w:style>
  <w:style w:type="paragraph" w:styleId="3">
    <w:name w:val="heading 1"/>
    <w:basedOn w:val="1"/>
    <w:next w:val="1"/>
    <w:link w:val="28"/>
    <w:qFormat/>
    <w:uiPriority w:val="0"/>
    <w:pPr>
      <w:keepNext/>
      <w:keepLines/>
      <w:numPr>
        <w:ilvl w:val="0"/>
        <w:numId w:val="1"/>
      </w:numPr>
      <w:adjustRightInd w:val="0"/>
      <w:snapToGrid w:val="0"/>
      <w:spacing w:before="460" w:beforeLines="0" w:beforeAutospacing="0" w:after="450" w:afterLines="0" w:afterAutospacing="0" w:line="576" w:lineRule="auto"/>
      <w:ind w:left="0" w:firstLine="0" w:firstLineChars="0"/>
      <w:outlineLvl w:val="0"/>
    </w:pPr>
    <w:rPr>
      <w:rFonts w:ascii="Times New Roman" w:hAnsi="Times New Roman" w:eastAsia="黑体" w:cs="Times New Roman"/>
      <w:b/>
      <w:kern w:val="44"/>
      <w:sz w:val="44"/>
    </w:rPr>
  </w:style>
  <w:style w:type="paragraph" w:styleId="4">
    <w:name w:val="heading 2"/>
    <w:basedOn w:val="1"/>
    <w:next w:val="1"/>
    <w:semiHidden/>
    <w:unhideWhenUsed/>
    <w:qFormat/>
    <w:uiPriority w:val="0"/>
    <w:pPr>
      <w:keepNext/>
      <w:keepLines/>
      <w:numPr>
        <w:ilvl w:val="1"/>
        <w:numId w:val="1"/>
      </w:numPr>
      <w:spacing w:before="260" w:beforeLines="0" w:beforeAutospacing="0" w:after="260" w:afterLines="0" w:afterAutospacing="0" w:line="413" w:lineRule="auto"/>
      <w:ind w:left="575" w:hanging="575" w:firstLineChars="0"/>
      <w:outlineLvl w:val="1"/>
    </w:pPr>
    <w:rPr>
      <w:rFonts w:ascii="Arial" w:hAnsi="Arial" w:eastAsia="黑体"/>
      <w:b/>
      <w:sz w:val="32"/>
    </w:rPr>
  </w:style>
  <w:style w:type="paragraph" w:styleId="2">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ind w:left="720" w:hanging="720" w:firstLineChars="0"/>
      <w:outlineLvl w:val="2"/>
    </w:pPr>
    <w:rPr>
      <w:b/>
      <w:sz w:val="32"/>
    </w:rPr>
  </w:style>
  <w:style w:type="paragraph" w:styleId="5">
    <w:name w:val="heading 4"/>
    <w:basedOn w:val="1"/>
    <w:next w:val="1"/>
    <w:link w:val="29"/>
    <w:semiHidden/>
    <w:unhideWhenUsed/>
    <w:qFormat/>
    <w:uiPriority w:val="0"/>
    <w:pPr>
      <w:keepNext/>
      <w:keepLines/>
      <w:spacing w:line="377" w:lineRule="auto"/>
      <w:ind w:firstLine="0" w:firstLineChars="0"/>
      <w:outlineLvl w:val="3"/>
    </w:pPr>
    <w:rPr>
      <w:rFonts w:asciiTheme="majorAscii" w:hAnsiTheme="majorAscii" w:eastAsiaTheme="majorEastAsia" w:cstheme="majorBidi"/>
      <w:b/>
      <w:bCs/>
      <w:sz w:val="28"/>
      <w:szCs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3">
    <w:name w:val="Default Paragraph Font"/>
    <w:semiHidden/>
    <w:unhideWhenUsed/>
    <w:qFormat/>
    <w:uiPriority w:val="1"/>
  </w:style>
  <w:style w:type="table" w:default="1" w:styleId="26">
    <w:name w:val="Normal Table"/>
    <w:semiHidden/>
    <w:qFormat/>
    <w:uiPriority w:val="0"/>
    <w:tblPr>
      <w:tblLayout w:type="fixed"/>
      <w:tblCellMar>
        <w:top w:w="0" w:type="dxa"/>
        <w:left w:w="108" w:type="dxa"/>
        <w:bottom w:w="0" w:type="dxa"/>
        <w:right w:w="108" w:type="dxa"/>
      </w:tblCellMar>
    </w:tblPr>
  </w:style>
  <w:style w:type="paragraph" w:styleId="11">
    <w:name w:val="Normal Indent"/>
    <w:basedOn w:val="1"/>
    <w:next w:val="1"/>
    <w:qFormat/>
    <w:uiPriority w:val="99"/>
    <w:pPr>
      <w:ind w:firstLine="420" w:firstLineChars="200"/>
    </w:pPr>
    <w:rPr>
      <w:rFonts w:ascii="Calibri" w:hAnsi="Calibri" w:eastAsia="仿宋_GB2312" w:cs="Times New Roman"/>
      <w:szCs w:val="21"/>
    </w:rPr>
  </w:style>
  <w:style w:type="paragraph" w:styleId="12">
    <w:name w:val="caption"/>
    <w:basedOn w:val="1"/>
    <w:next w:val="1"/>
    <w:unhideWhenUsed/>
    <w:qFormat/>
    <w:uiPriority w:val="0"/>
    <w:pPr>
      <w:widowControl w:val="0"/>
      <w:adjustRightInd w:val="0"/>
      <w:snapToGrid w:val="0"/>
      <w:spacing w:line="360" w:lineRule="auto"/>
      <w:ind w:firstLine="880" w:firstLineChars="200"/>
      <w:jc w:val="center"/>
    </w:pPr>
    <w:rPr>
      <w:rFonts w:ascii="Times New Roman" w:hAnsi="Times New Roman" w:eastAsia="黑体" w:cs="Times New Roman"/>
      <w:kern w:val="2"/>
      <w:sz w:val="24"/>
      <w:szCs w:val="24"/>
      <w:lang w:val="en-US" w:eastAsia="zh-CN" w:bidi="ar-SA"/>
    </w:rPr>
  </w:style>
  <w:style w:type="paragraph" w:styleId="13">
    <w:name w:val="Body Text"/>
    <w:basedOn w:val="1"/>
    <w:next w:val="1"/>
    <w:qFormat/>
    <w:uiPriority w:val="0"/>
    <w:pPr>
      <w:spacing w:line="360" w:lineRule="auto"/>
      <w:ind w:firstLine="1044" w:firstLineChars="200"/>
    </w:pPr>
    <w:rPr>
      <w:rFonts w:ascii="仿宋" w:hAnsi="仿宋" w:eastAsia="仿宋" w:cs="仿宋"/>
      <w:sz w:val="28"/>
      <w:szCs w:val="28"/>
      <w:lang w:val="zh-CN" w:bidi="zh-CN"/>
    </w:rPr>
  </w:style>
  <w:style w:type="paragraph" w:styleId="14">
    <w:name w:val="Body Text Indent"/>
    <w:basedOn w:val="1"/>
    <w:next w:val="11"/>
    <w:qFormat/>
    <w:uiPriority w:val="0"/>
    <w:pPr>
      <w:spacing w:line="360" w:lineRule="auto"/>
      <w:ind w:firstLine="420" w:firstLineChars="200"/>
    </w:pPr>
  </w:style>
  <w:style w:type="paragraph" w:styleId="15">
    <w:name w:val="toc 3"/>
    <w:basedOn w:val="1"/>
    <w:next w:val="1"/>
    <w:qFormat/>
    <w:uiPriority w:val="0"/>
    <w:pPr>
      <w:ind w:left="840" w:leftChars="400"/>
    </w:pPr>
  </w:style>
  <w:style w:type="paragraph" w:styleId="16">
    <w:name w:val="footer"/>
    <w:basedOn w:val="1"/>
    <w:qFormat/>
    <w:uiPriority w:val="0"/>
    <w:pPr>
      <w:tabs>
        <w:tab w:val="center" w:pos="4153"/>
        <w:tab w:val="right" w:pos="8306"/>
      </w:tabs>
      <w:snapToGrid w:val="0"/>
      <w:jc w:val="left"/>
    </w:pPr>
    <w:rPr>
      <w:sz w:val="18"/>
    </w:rPr>
  </w:style>
  <w:style w:type="paragraph" w:styleId="17">
    <w:name w:val="Body Text First Indent 2"/>
    <w:basedOn w:val="14"/>
    <w:next w:val="14"/>
    <w:qFormat/>
    <w:uiPriority w:val="0"/>
    <w:pPr>
      <w:spacing w:after="120" w:line="240" w:lineRule="auto"/>
      <w:ind w:left="420" w:leftChars="200"/>
    </w:pPr>
    <w:rPr>
      <w:sz w:val="21"/>
      <w:szCs w:val="24"/>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0"/>
  </w:style>
  <w:style w:type="paragraph" w:styleId="20">
    <w:name w:val="List"/>
    <w:basedOn w:val="1"/>
    <w:qFormat/>
    <w:uiPriority w:val="0"/>
    <w:pPr>
      <w:widowControl w:val="0"/>
      <w:adjustRightInd w:val="0"/>
      <w:snapToGrid w:val="0"/>
      <w:spacing w:line="360" w:lineRule="auto"/>
      <w:ind w:left="200" w:hanging="200" w:hangingChars="200"/>
      <w:jc w:val="both"/>
    </w:pPr>
    <w:rPr>
      <w:rFonts w:ascii="Times New Roman" w:hAnsi="Times New Roman" w:eastAsia="宋体" w:cs="Times New Roman"/>
      <w:sz w:val="24"/>
      <w:szCs w:val="21"/>
    </w:rPr>
  </w:style>
  <w:style w:type="paragraph" w:styleId="21">
    <w:name w:val="toc 2"/>
    <w:basedOn w:val="1"/>
    <w:next w:val="1"/>
    <w:qFormat/>
    <w:uiPriority w:val="0"/>
    <w:pPr>
      <w:ind w:left="420" w:leftChars="200"/>
    </w:pPr>
  </w:style>
  <w:style w:type="paragraph" w:styleId="22">
    <w:name w:val="Normal (Web)"/>
    <w:qFormat/>
    <w:uiPriority w:val="0"/>
    <w:pPr>
      <w:widowControl/>
      <w:adjustRightInd/>
      <w:snapToGrid/>
      <w:spacing w:beforeAutospacing="1" w:afterAutospacing="1" w:line="240" w:lineRule="auto"/>
      <w:ind w:firstLine="0" w:firstLineChars="0"/>
      <w:jc w:val="left"/>
    </w:pPr>
    <w:rPr>
      <w:rFonts w:ascii="宋体" w:hAnsi="宋体" w:eastAsia="宋体" w:cs="Times New Roman"/>
      <w:kern w:val="0"/>
      <w:sz w:val="24"/>
      <w:szCs w:val="24"/>
      <w:lang w:val="en-US" w:eastAsia="zh-CN" w:bidi="ar-SA"/>
    </w:rPr>
  </w:style>
  <w:style w:type="character" w:styleId="24">
    <w:name w:val="Emphasis"/>
    <w:basedOn w:val="23"/>
    <w:qFormat/>
    <w:uiPriority w:val="0"/>
    <w:rPr>
      <w:i/>
    </w:rPr>
  </w:style>
  <w:style w:type="character" w:styleId="25">
    <w:name w:val="Hyperlink"/>
    <w:unhideWhenUsed/>
    <w:qFormat/>
    <w:uiPriority w:val="99"/>
    <w:rPr>
      <w:color w:val="0000FF"/>
      <w:u w:val="single"/>
    </w:rPr>
  </w:style>
  <w:style w:type="table" w:styleId="27">
    <w:name w:val="Table Grid"/>
    <w:qFormat/>
    <w:uiPriority w:val="0"/>
    <w:rPr>
      <w:rFonts w:ascii="Calibri" w:hAnsi="Calibri" w:cs="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tcPr>
      <w:tcBorders>
        <w:top w:val="single" w:color="000000" w:sz="4" w:space="0"/>
        <w:left w:val="single" w:color="000000" w:sz="4" w:space="0"/>
        <w:bottom w:val="single" w:color="000000" w:sz="4" w:space="0"/>
        <w:right w:val="single" w:color="000000" w:sz="4" w:space="0"/>
      </w:tcBorders>
    </w:tcPr>
  </w:style>
  <w:style w:type="character" w:customStyle="1" w:styleId="28">
    <w:name w:val="标题 1 Char"/>
    <w:link w:val="3"/>
    <w:qFormat/>
    <w:uiPriority w:val="0"/>
    <w:rPr>
      <w:rFonts w:ascii="Times New Roman" w:hAnsi="Times New Roman" w:eastAsia="黑体" w:cs="Times New Roman"/>
      <w:b/>
      <w:kern w:val="44"/>
      <w:sz w:val="44"/>
    </w:rPr>
  </w:style>
  <w:style w:type="character" w:customStyle="1" w:styleId="29">
    <w:name w:val="标题 4 Char"/>
    <w:basedOn w:val="23"/>
    <w:link w:val="5"/>
    <w:qFormat/>
    <w:uiPriority w:val="9"/>
    <w:rPr>
      <w:rFonts w:asciiTheme="majorAscii" w:hAnsiTheme="majorAscii" w:eastAsiaTheme="majorEastAsia" w:cstheme="majorBidi"/>
      <w:b/>
      <w:bCs/>
      <w:kern w:val="2"/>
      <w:sz w:val="28"/>
      <w:szCs w:val="28"/>
    </w:rPr>
  </w:style>
  <w:style w:type="paragraph" w:customStyle="1" w:styleId="30">
    <w:name w:val="Body text|1"/>
    <w:qFormat/>
    <w:uiPriority w:val="0"/>
    <w:pPr>
      <w:widowControl w:val="0"/>
      <w:adjustRightInd w:val="0"/>
      <w:snapToGrid w:val="0"/>
      <w:spacing w:line="406" w:lineRule="auto"/>
      <w:ind w:firstLine="400" w:firstLineChars="200"/>
      <w:jc w:val="both"/>
    </w:pPr>
    <w:rPr>
      <w:rFonts w:ascii="宋体" w:hAnsi="宋体" w:eastAsia="宋体" w:cs="宋体"/>
      <w:kern w:val="2"/>
      <w:sz w:val="28"/>
      <w:szCs w:val="28"/>
      <w:lang w:val="zh-TW" w:eastAsia="zh-TW" w:bidi="zh-TW"/>
    </w:rPr>
  </w:style>
  <w:style w:type="paragraph" w:customStyle="1" w:styleId="31">
    <w:name w:val="表头-格式"/>
    <w:qFormat/>
    <w:uiPriority w:val="0"/>
    <w:pPr>
      <w:keepNext/>
      <w:widowControl/>
      <w:adjustRightInd w:val="0"/>
      <w:snapToGrid w:val="0"/>
      <w:spacing w:before="120" w:after="120" w:line="240" w:lineRule="auto"/>
      <w:ind w:firstLine="0" w:firstLineChars="0"/>
      <w:jc w:val="center"/>
    </w:pPr>
    <w:rPr>
      <w:rFonts w:eastAsia="华文仿宋" w:asciiTheme="minorHAnsi" w:hAnsiTheme="minorHAnsi" w:cstheme="minorBidi"/>
      <w:b/>
      <w:kern w:val="0"/>
      <w:sz w:val="24"/>
      <w:szCs w:val="21"/>
      <w:lang w:val="en-US" w:eastAsia="zh-CN" w:bidi="en-US"/>
    </w:rPr>
  </w:style>
  <w:style w:type="paragraph" w:customStyle="1" w:styleId="32">
    <w:name w:val="表体-格式"/>
    <w:qFormat/>
    <w:uiPriority w:val="0"/>
    <w:pPr>
      <w:keepNext/>
      <w:widowControl w:val="0"/>
      <w:adjustRightInd w:val="0"/>
      <w:snapToGrid w:val="0"/>
      <w:spacing w:line="240" w:lineRule="auto"/>
      <w:ind w:firstLine="0" w:firstLineChars="0"/>
      <w:jc w:val="center"/>
    </w:pPr>
    <w:rPr>
      <w:rFonts w:eastAsia="华文仿宋" w:asciiTheme="minorHAnsi" w:hAnsiTheme="minorHAnsi" w:cstheme="minorBidi"/>
      <w:kern w:val="0"/>
      <w:sz w:val="21"/>
      <w:szCs w:val="18"/>
      <w:lang w:val="en-US" w:eastAsia="en-US" w:bidi="en-US"/>
    </w:rPr>
  </w:style>
  <w:style w:type="paragraph" w:styleId="33">
    <w:name w:val="List Paragraph"/>
    <w:basedOn w:val="1"/>
    <w:qFormat/>
    <w:uiPriority w:val="99"/>
    <w:pPr>
      <w:keepNext/>
      <w:widowControl w:val="0"/>
      <w:adjustRightInd w:val="0"/>
      <w:snapToGrid w:val="0"/>
      <w:spacing w:line="360" w:lineRule="auto"/>
      <w:ind w:firstLine="420" w:firstLineChars="200"/>
      <w:jc w:val="both"/>
    </w:pPr>
    <w:rPr>
      <w:rFonts w:eastAsia="华文仿宋" w:asciiTheme="minorHAnsi" w:hAnsiTheme="minorHAnsi" w:cstheme="minorBidi"/>
      <w:kern w:val="2"/>
      <w:sz w:val="28"/>
      <w:szCs w:val="22"/>
      <w:lang w:val="en-US" w:eastAsia="zh-CN" w:bidi="ar-SA"/>
    </w:rPr>
  </w:style>
  <w:style w:type="paragraph" w:customStyle="1" w:styleId="34">
    <w:name w:val="WPSOffice手动目录 1"/>
    <w:qFormat/>
    <w:uiPriority w:val="0"/>
    <w:pPr>
      <w:ind w:leftChars="0"/>
    </w:pPr>
    <w:rPr>
      <w:rFonts w:ascii="Times New Roman" w:hAnsi="Times New Roman" w:eastAsia="宋体" w:cs="Times New Roman"/>
      <w:sz w:val="20"/>
      <w:szCs w:val="20"/>
    </w:rPr>
  </w:style>
  <w:style w:type="paragraph" w:customStyle="1" w:styleId="35">
    <w:name w:val="WPSOffice手动目录 2"/>
    <w:qFormat/>
    <w:uiPriority w:val="0"/>
    <w:pPr>
      <w:ind w:leftChars="200"/>
    </w:pPr>
    <w:rPr>
      <w:rFonts w:ascii="Times New Roman" w:hAnsi="Times New Roman" w:eastAsia="宋体" w:cs="Times New Roman"/>
      <w:sz w:val="20"/>
      <w:szCs w:val="20"/>
    </w:rPr>
  </w:style>
  <w:style w:type="paragraph" w:customStyle="1" w:styleId="36">
    <w:name w:val="WPSOffice手动目录 3"/>
    <w:qFormat/>
    <w:uiPriority w:val="0"/>
    <w:pPr>
      <w:ind w:leftChars="400"/>
    </w:pPr>
    <w:rPr>
      <w:rFonts w:ascii="Times New Roman" w:hAnsi="Times New Roman" w:eastAsia="宋体" w:cs="Times New Roman"/>
      <w:sz w:val="20"/>
      <w:szCs w:val="20"/>
    </w:rPr>
  </w:style>
  <w:style w:type="paragraph" w:customStyle="1" w:styleId="37">
    <w:name w:val="正文用-jying"/>
    <w:basedOn w:val="1"/>
    <w:qFormat/>
    <w:uiPriority w:val="0"/>
    <w:pPr>
      <w:spacing w:line="500" w:lineRule="exact"/>
      <w:ind w:firstLine="480" w:firstLineChars="200"/>
    </w:pPr>
    <w:rPr>
      <w:rFonts w:ascii="宋体" w:hAnsi="宋体" w:eastAsia="宋体" w:cs="Times New Roman"/>
      <w:sz w:val="24"/>
      <w:szCs w:val="24"/>
    </w:rPr>
  </w:style>
  <w:style w:type="paragraph" w:customStyle="1" w:styleId="38">
    <w:name w:val="表名"/>
    <w:basedOn w:val="1"/>
    <w:qFormat/>
    <w:uiPriority w:val="0"/>
    <w:pPr>
      <w:spacing w:beforeLines="50" w:line="360" w:lineRule="auto"/>
      <w:jc w:val="center"/>
    </w:pPr>
    <w:rPr>
      <w:rFonts w:ascii="Times New Roman" w:hAnsi="Times New Roman" w:eastAsia="仿宋_GB2312" w:cs="宋体"/>
      <w:b/>
      <w:color w:val="000000"/>
      <w:spacing w:val="-4"/>
      <w:sz w:val="24"/>
      <w:szCs w:val="24"/>
    </w:rPr>
  </w:style>
  <w:style w:type="paragraph" w:customStyle="1" w:styleId="39">
    <w:name w:val="表格正文"/>
    <w:qFormat/>
    <w:uiPriority w:val="0"/>
    <w:pPr>
      <w:spacing w:before="50" w:after="50"/>
      <w:jc w:val="center"/>
    </w:pPr>
    <w:rPr>
      <w:rFonts w:ascii="Times New Roman" w:hAnsi="Times New Roman" w:eastAsia="宋体" w:cs="Times New Roman"/>
      <w:color w:val="000000"/>
      <w:sz w:val="18"/>
      <w:szCs w:val="21"/>
      <w:lang w:val="en-US" w:eastAsia="zh-CN" w:bidi="ar-SA"/>
    </w:rPr>
  </w:style>
  <w:style w:type="character" w:customStyle="1" w:styleId="40">
    <w:name w:val="font01"/>
    <w:basedOn w:val="23"/>
    <w:qFormat/>
    <w:uiPriority w:val="0"/>
    <w:rPr>
      <w:rFonts w:hint="eastAsia" w:ascii="宋体" w:hAnsi="宋体" w:eastAsia="宋体" w:cs="宋体"/>
      <w:color w:val="000000"/>
      <w:sz w:val="18"/>
      <w:szCs w:val="18"/>
      <w:u w:val="none"/>
    </w:rPr>
  </w:style>
  <w:style w:type="table" w:customStyle="1" w:styleId="41">
    <w:name w:val="网格型1"/>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25084</Words>
  <Characters>29096</Characters>
  <Lines>0</Lines>
  <Paragraphs>0</Paragraphs>
  <TotalTime>0</TotalTime>
  <ScaleCrop>false</ScaleCrop>
  <LinksUpToDate>false</LinksUpToDate>
  <CharactersWithSpaces>29324</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2021-05-30T10:54:00Z</dcterms:created>
  <dc:creator>程艳</dc:creator>
  <cp:lastModifiedBy>Administrator</cp:lastModifiedBy>
  <dcterms:modified xsi:type="dcterms:W3CDTF">2024-01-16T10:36:54Z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A77DD39807B14F03BBCB7F367FB56FB0_13</vt:lpwstr>
  </property>
</Properties>
</file>